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37E01BB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CB21BE">
        <w:rPr>
          <w:sz w:val="32"/>
          <w:szCs w:val="32"/>
        </w:rPr>
        <w:t>04421</w:t>
      </w:r>
    </w:p>
    <w:p w14:paraId="63F907B0" w14:textId="0C8BFF7E" w:rsidR="00E90E49" w:rsidRPr="00CE0424" w:rsidRDefault="00893298" w:rsidP="00311702">
      <w:pPr>
        <w:pStyle w:val="3GPPHeader"/>
      </w:pPr>
      <w:r>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63A8D88E" w14:textId="77777777" w:rsidR="00E90E49" w:rsidRPr="00CE0424" w:rsidRDefault="00E90E49" w:rsidP="00357380">
      <w:pPr>
        <w:pStyle w:val="3GPPHeader"/>
      </w:pPr>
    </w:p>
    <w:p w14:paraId="5F88B5D2" w14:textId="636843E1" w:rsidR="00E90E49" w:rsidRPr="00893298" w:rsidRDefault="00E90E49" w:rsidP="00311702">
      <w:pPr>
        <w:pStyle w:val="3GPPHeader"/>
        <w:rPr>
          <w:sz w:val="22"/>
          <w:szCs w:val="22"/>
          <w:lang w:val="en-US"/>
        </w:rPr>
      </w:pPr>
      <w:r w:rsidRPr="00893298">
        <w:rPr>
          <w:sz w:val="22"/>
          <w:szCs w:val="22"/>
          <w:lang w:val="en-US"/>
        </w:rPr>
        <w:t>Agenda Item:</w:t>
      </w:r>
      <w:r w:rsidRPr="00893298">
        <w:rPr>
          <w:sz w:val="22"/>
          <w:szCs w:val="22"/>
          <w:lang w:val="en-US"/>
        </w:rPr>
        <w:tab/>
      </w:r>
      <w:r w:rsidR="00CB21BE" w:rsidRPr="00893298">
        <w:rPr>
          <w:sz w:val="22"/>
          <w:szCs w:val="22"/>
          <w:lang w:val="en-US"/>
        </w:rPr>
        <w:t>10.2.5</w:t>
      </w:r>
    </w:p>
    <w:p w14:paraId="1AB42B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EC4105" w14:textId="3769CA1D" w:rsidR="00E90E49" w:rsidRPr="00CE0424" w:rsidRDefault="003D3C45" w:rsidP="00311702">
      <w:pPr>
        <w:pStyle w:val="3GPPHeader"/>
        <w:rPr>
          <w:sz w:val="22"/>
          <w:szCs w:val="22"/>
        </w:rPr>
      </w:pPr>
      <w:r>
        <w:rPr>
          <w:sz w:val="22"/>
          <w:szCs w:val="22"/>
        </w:rPr>
        <w:t>Title:</w:t>
      </w:r>
      <w:r w:rsidR="00E90E49" w:rsidRPr="00CE0424">
        <w:rPr>
          <w:sz w:val="22"/>
          <w:szCs w:val="22"/>
        </w:rPr>
        <w:tab/>
      </w:r>
      <w:r w:rsidR="0077548C">
        <w:rPr>
          <w:sz w:val="22"/>
          <w:szCs w:val="22"/>
        </w:rPr>
        <w:t>SCG</w:t>
      </w:r>
      <w:r w:rsidR="00D57F29">
        <w:rPr>
          <w:sz w:val="22"/>
          <w:szCs w:val="22"/>
        </w:rPr>
        <w:t xml:space="preserve"> SRB </w:t>
      </w:r>
      <w:r w:rsidR="007A11C8">
        <w:rPr>
          <w:sz w:val="22"/>
          <w:szCs w:val="22"/>
        </w:rPr>
        <w:t>- Identification and mapping to logical channels</w:t>
      </w:r>
    </w:p>
    <w:p w14:paraId="5E871F9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B21BE">
        <w:rPr>
          <w:sz w:val="22"/>
          <w:szCs w:val="22"/>
        </w:rPr>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462C0E6E" w14:textId="77777777" w:rsidR="00A404C6" w:rsidRDefault="00A404C6" w:rsidP="00A2052C">
      <w:r>
        <w:t>In RAN2#97, it was agreed to support the following for LTE-NR tight interworking where LTE is the master (EN-DC)</w:t>
      </w:r>
    </w:p>
    <w:p w14:paraId="233273AB" w14:textId="77777777" w:rsidR="00A404C6" w:rsidRDefault="00A404C6" w:rsidP="00A404C6">
      <w:pPr>
        <w:pStyle w:val="ListParagraph"/>
        <w:numPr>
          <w:ilvl w:val="0"/>
          <w:numId w:val="16"/>
        </w:numPr>
      </w:pPr>
      <w:r>
        <w:t>the splitting of SRBs</w:t>
      </w:r>
    </w:p>
    <w:p w14:paraId="618C3B90" w14:textId="77777777" w:rsidR="00A404C6" w:rsidRDefault="00A404C6" w:rsidP="00A404C6">
      <w:pPr>
        <w:pStyle w:val="ListParagraph"/>
        <w:numPr>
          <w:ilvl w:val="0"/>
          <w:numId w:val="16"/>
        </w:numPr>
      </w:pPr>
      <w:r>
        <w:t xml:space="preserve">a direct SRB from the SN. </w:t>
      </w:r>
    </w:p>
    <w:p w14:paraId="5BD5F859" w14:textId="48C36ED8" w:rsidR="00A404C6" w:rsidRDefault="00A404C6" w:rsidP="00A404C6">
      <w:r>
        <w:t xml:space="preserve">Also, in RAN2#97bis, it was further agreed that </w:t>
      </w:r>
    </w:p>
    <w:p w14:paraId="67C855EC" w14:textId="09668F2B" w:rsidR="00931D80" w:rsidRDefault="00931D80" w:rsidP="00931D80">
      <w:pPr>
        <w:pStyle w:val="ListParagraph"/>
        <w:numPr>
          <w:ilvl w:val="0"/>
          <w:numId w:val="22"/>
        </w:numPr>
      </w:pPr>
      <w:r>
        <w:t>f</w:t>
      </w:r>
      <w:r w:rsidRPr="00931D80">
        <w:t>or LTE-NR tight interworking where LTE is the MN with SCG SRB configured, only one SRB is required on the SN side, and only for</w:t>
      </w:r>
      <w:r>
        <w:t xml:space="preserve"> messages corresponding to SRB1</w:t>
      </w:r>
    </w:p>
    <w:p w14:paraId="45F778BE" w14:textId="57E406BC" w:rsidR="00945715" w:rsidRPr="003B0E81" w:rsidRDefault="003B0E81" w:rsidP="003B0E81">
      <w:pPr>
        <w:pStyle w:val="ListParagraph"/>
        <w:numPr>
          <w:ilvl w:val="0"/>
          <w:numId w:val="22"/>
        </w:numPr>
        <w:rPr>
          <w:lang w:val="en-US"/>
        </w:rPr>
      </w:pPr>
      <w:r>
        <w:rPr>
          <w:lang w:val="en-US"/>
        </w:rPr>
        <w:t>t</w:t>
      </w:r>
      <w:r w:rsidR="007A11C8" w:rsidRPr="003B0E81">
        <w:rPr>
          <w:lang w:val="en-US"/>
        </w:rPr>
        <w:t>he following RRC messages can be sent via the SRB in the SCG: RRCConnectionReconfiguration,  RRCConnectionReconfigurationComplete, MeasurementReport</w:t>
      </w:r>
    </w:p>
    <w:p w14:paraId="3AA563E5" w14:textId="4C1394EA" w:rsidR="00A404C6" w:rsidRDefault="00A404C6" w:rsidP="00A404C6">
      <w:pPr>
        <w:pStyle w:val="ListParagraph"/>
        <w:numPr>
          <w:ilvl w:val="0"/>
          <w:numId w:val="17"/>
        </w:numPr>
      </w:pPr>
      <w:r>
        <w:t>direct SRB from the SN will n</w:t>
      </w:r>
      <w:r w:rsidR="00931D80">
        <w:t>ot support splitting in Rel-15</w:t>
      </w:r>
    </w:p>
    <w:p w14:paraId="75F621CD" w14:textId="15C6FCB4" w:rsidR="00A404C6" w:rsidRDefault="00931D80" w:rsidP="00A404C6">
      <w:pPr>
        <w:pStyle w:val="ListParagraph"/>
        <w:numPr>
          <w:ilvl w:val="0"/>
          <w:numId w:val="17"/>
        </w:numPr>
      </w:pPr>
      <w:r>
        <w:t>b</w:t>
      </w:r>
      <w:r w:rsidR="00A404C6">
        <w:t>oth SRB1 and SRB2 from the MN support splitting</w:t>
      </w:r>
    </w:p>
    <w:p w14:paraId="7D8FAA1E" w14:textId="77777777" w:rsidR="00945715" w:rsidRPr="007B6B5E" w:rsidRDefault="007A11C8" w:rsidP="007B6B5E">
      <w:pPr>
        <w:pStyle w:val="ListParagraph"/>
        <w:numPr>
          <w:ilvl w:val="0"/>
          <w:numId w:val="17"/>
        </w:numPr>
      </w:pPr>
      <w:r w:rsidRPr="007B6B5E">
        <w:t>SCG SRB is of higher scheduling priority than all DRBs.</w:t>
      </w:r>
    </w:p>
    <w:p w14:paraId="0DD93413" w14:textId="77777777" w:rsidR="007B6B5E" w:rsidRDefault="007B6B5E" w:rsidP="007B6B5E">
      <w:pPr>
        <w:pStyle w:val="ListParagraph"/>
      </w:pPr>
    </w:p>
    <w:p w14:paraId="7E7BBEF6" w14:textId="77777777" w:rsidR="00A404C6" w:rsidRDefault="00A404C6" w:rsidP="00A404C6">
      <w:r>
        <w:t xml:space="preserve">Based on these agreements, the SRB structure for EN-DC in Rel-15 will be as shown in Figure 1. </w:t>
      </w:r>
    </w:p>
    <w:p w14:paraId="6C59EF8E" w14:textId="4EEF19C1" w:rsidR="00A404C6" w:rsidRDefault="00983C05" w:rsidP="00A404C6">
      <w:pPr>
        <w:pStyle w:val="BodyText"/>
        <w:keepNext/>
      </w:pPr>
      <w:r>
        <w:object w:dxaOrig="15645" w:dyaOrig="6270" w14:anchorId="5EF02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3in" o:ole="">
            <v:imagedata r:id="rId14" o:title=""/>
          </v:shape>
          <o:OLEObject Type="Embed" ProgID="Visio.Drawing.15" ShapeID="_x0000_i1025" DrawAspect="Content" ObjectID="_1555510401" r:id="rId15"/>
        </w:object>
      </w:r>
    </w:p>
    <w:p w14:paraId="51481518" w14:textId="4808BBD1" w:rsidR="00A404C6" w:rsidRDefault="00A404C6" w:rsidP="00A404C6">
      <w:pPr>
        <w:pStyle w:val="Caption"/>
      </w:pPr>
      <w:r>
        <w:t xml:space="preserve">Figure </w:t>
      </w:r>
      <w:r>
        <w:fldChar w:fldCharType="begin"/>
      </w:r>
      <w:r>
        <w:instrText xml:space="preserve"> SEQ Figure \* ARABIC </w:instrText>
      </w:r>
      <w:r>
        <w:fldChar w:fldCharType="separate"/>
      </w:r>
      <w:r w:rsidR="00C92058">
        <w:rPr>
          <w:noProof/>
        </w:rPr>
        <w:t>1</w:t>
      </w:r>
      <w:r>
        <w:fldChar w:fldCharType="end"/>
      </w:r>
      <w:r>
        <w:t>: SRBs for LTE-NR tight interworking</w:t>
      </w:r>
    </w:p>
    <w:p w14:paraId="58C53E41" w14:textId="3F0A36A0" w:rsidR="00931D80" w:rsidRDefault="00931D80" w:rsidP="00A2052C">
      <w:r>
        <w:t>In this contribution, we discuss how this direct SRB</w:t>
      </w:r>
      <w:r w:rsidR="00CB21BE">
        <w:t xml:space="preserve"> (referred to as SCG SRB from here onwards) </w:t>
      </w:r>
      <w:r>
        <w:t>should be ident</w:t>
      </w:r>
      <w:r w:rsidR="007A11C8">
        <w:t>ified and mapped to a logical channel.</w:t>
      </w:r>
    </w:p>
    <w:p w14:paraId="150A27A9" w14:textId="77777777" w:rsidR="004000E8" w:rsidRPr="00CE0424" w:rsidRDefault="004000E8" w:rsidP="00CE0424">
      <w:pPr>
        <w:pStyle w:val="Heading1"/>
      </w:pPr>
      <w:bookmarkStart w:id="0" w:name="_Ref178064866"/>
      <w:r w:rsidRPr="00CE0424">
        <w:lastRenderedPageBreak/>
        <w:t>Discussion</w:t>
      </w:r>
      <w:bookmarkEnd w:id="0"/>
    </w:p>
    <w:p w14:paraId="41A02C07" w14:textId="099B2B2F" w:rsidR="00CC146C" w:rsidRPr="00CE0424" w:rsidRDefault="00931D80" w:rsidP="00CC146C">
      <w:pPr>
        <w:pStyle w:val="Heading2"/>
      </w:pPr>
      <w:r>
        <w:t xml:space="preserve">Transmission </w:t>
      </w:r>
      <w:r w:rsidR="00265DE3">
        <w:t xml:space="preserve">and Reception </w:t>
      </w:r>
      <w:r>
        <w:t xml:space="preserve">of </w:t>
      </w:r>
      <w:r w:rsidR="00265DE3">
        <w:t>DRBs/</w:t>
      </w:r>
      <w:r>
        <w:t>SRBs in LTE</w:t>
      </w:r>
    </w:p>
    <w:p w14:paraId="0594FB85" w14:textId="77777777" w:rsidR="00B06B83" w:rsidRDefault="00931D80" w:rsidP="00A404C6">
      <w:pPr>
        <w:pStyle w:val="IvDInstructiontext"/>
        <w:rPr>
          <w:rStyle w:val="IvDbodytextChar"/>
          <w:i w:val="0"/>
          <w:color w:val="auto"/>
          <w:sz w:val="20"/>
          <w:szCs w:val="20"/>
        </w:rPr>
      </w:pPr>
      <w:r>
        <w:rPr>
          <w:rStyle w:val="IvDbodytextChar"/>
          <w:i w:val="0"/>
          <w:color w:val="auto"/>
          <w:sz w:val="20"/>
          <w:szCs w:val="20"/>
        </w:rPr>
        <w:t xml:space="preserve">Figure 2 depicts a high level overview of the </w:t>
      </w:r>
      <w:r w:rsidR="00B06B83">
        <w:rPr>
          <w:rStyle w:val="IvDbodytextChar"/>
          <w:i w:val="0"/>
          <w:color w:val="auto"/>
          <w:sz w:val="20"/>
          <w:szCs w:val="20"/>
        </w:rPr>
        <w:t>transmission and reception of DRBs/</w:t>
      </w:r>
      <w:r>
        <w:rPr>
          <w:rStyle w:val="IvDbodytextChar"/>
          <w:i w:val="0"/>
          <w:color w:val="auto"/>
          <w:sz w:val="20"/>
          <w:szCs w:val="20"/>
        </w:rPr>
        <w:t xml:space="preserve">SRBs </w:t>
      </w:r>
      <w:r w:rsidR="00B06B83">
        <w:rPr>
          <w:rStyle w:val="IvDbodytextChar"/>
          <w:i w:val="0"/>
          <w:color w:val="auto"/>
          <w:sz w:val="20"/>
          <w:szCs w:val="20"/>
        </w:rPr>
        <w:t>on the protocol stack assuming we have both SRB1 and SRB2 configured, as well as 2 DRBs.</w:t>
      </w:r>
    </w:p>
    <w:p w14:paraId="7DB5CC82" w14:textId="5A6CFB43" w:rsidR="00B06B83" w:rsidRDefault="007260FE" w:rsidP="00A404C6">
      <w:pPr>
        <w:pStyle w:val="IvDInstructiontext"/>
      </w:pPr>
      <w:r>
        <w:object w:dxaOrig="8820" w:dyaOrig="4770" w14:anchorId="7AE3B0AC">
          <v:shape id="_x0000_i1026" type="#_x0000_t75" style="width:362.25pt;height:196.5pt" o:ole="">
            <v:imagedata r:id="rId16" o:title=""/>
          </v:shape>
          <o:OLEObject Type="Embed" ProgID="Visio.Drawing.15" ShapeID="_x0000_i1026" DrawAspect="Content" ObjectID="_1555510402" r:id="rId17"/>
        </w:object>
      </w:r>
    </w:p>
    <w:p w14:paraId="4302FD4F" w14:textId="77777777" w:rsidR="004B4389" w:rsidRDefault="004B4389" w:rsidP="00A404C6">
      <w:pPr>
        <w:pStyle w:val="IvDInstructiontext"/>
        <w:rPr>
          <w:rStyle w:val="IvDbodytextChar"/>
          <w:i w:val="0"/>
          <w:color w:val="auto"/>
          <w:sz w:val="20"/>
          <w:szCs w:val="20"/>
        </w:rPr>
      </w:pPr>
    </w:p>
    <w:p w14:paraId="44093CD7" w14:textId="7CC88739" w:rsidR="00B06B83" w:rsidRDefault="00C92058" w:rsidP="00C92058">
      <w:pPr>
        <w:pStyle w:val="Caption"/>
        <w:rPr>
          <w:rStyle w:val="IvDbodytextChar"/>
          <w:i/>
        </w:rPr>
      </w:pPr>
      <w:r>
        <w:t xml:space="preserve">Figure </w:t>
      </w:r>
      <w:r>
        <w:fldChar w:fldCharType="begin"/>
      </w:r>
      <w:r>
        <w:instrText xml:space="preserve"> SEQ Figure \* ARABIC </w:instrText>
      </w:r>
      <w:r>
        <w:fldChar w:fldCharType="separate"/>
      </w:r>
      <w:r>
        <w:rPr>
          <w:noProof/>
        </w:rPr>
        <w:t>2</w:t>
      </w:r>
      <w:r>
        <w:fldChar w:fldCharType="end"/>
      </w:r>
      <w:r w:rsidR="004B4389">
        <w:t>: DRB/SRB transmission/reception in LTE</w:t>
      </w:r>
    </w:p>
    <w:p w14:paraId="3791B3A5" w14:textId="799964DC" w:rsidR="00265DE3" w:rsidRDefault="004B4389" w:rsidP="00A404C6">
      <w:pPr>
        <w:pStyle w:val="IvDInstructiontext"/>
        <w:rPr>
          <w:rStyle w:val="IvDbodytextChar"/>
          <w:i w:val="0"/>
          <w:color w:val="auto"/>
          <w:sz w:val="20"/>
          <w:szCs w:val="20"/>
        </w:rPr>
      </w:pPr>
      <w:r>
        <w:rPr>
          <w:rStyle w:val="IvDbodytextChar"/>
          <w:i w:val="0"/>
          <w:color w:val="auto"/>
          <w:sz w:val="20"/>
          <w:szCs w:val="20"/>
        </w:rPr>
        <w:t xml:space="preserve">Each DRB/SRB is mapped to a separate PDCP and RLC entities. On the transmitter side, the data is pushed to the PDCP, RLC and MAC. Each layer performs the configured functionality on the data, adds a header and pushes it to the next layer. The MAC layer could apply multiplexing and aggregate data from multiple RLC entities, if the </w:t>
      </w:r>
      <w:r w:rsidR="00596B74">
        <w:rPr>
          <w:rStyle w:val="IvDbodytextChar"/>
          <w:i w:val="0"/>
          <w:color w:val="auto"/>
          <w:sz w:val="20"/>
          <w:szCs w:val="20"/>
        </w:rPr>
        <w:t>grant for the concerned TTI has</w:t>
      </w:r>
      <w:r>
        <w:rPr>
          <w:rStyle w:val="IvDbodytextChar"/>
          <w:i w:val="0"/>
          <w:color w:val="auto"/>
          <w:sz w:val="20"/>
          <w:szCs w:val="20"/>
        </w:rPr>
        <w:t xml:space="preserve"> sufficient space for them. Whether multiplexing is performed or not, a header is appended to each corresponding RLC PDU, which includes a logical channel ID (LCID) for the DRB or SRB that this data belongs to. This LCID is used on the receiver side to map </w:t>
      </w:r>
      <w:r w:rsidR="00265DE3">
        <w:rPr>
          <w:rStyle w:val="IvDbodytextChar"/>
          <w:i w:val="0"/>
          <w:color w:val="auto"/>
          <w:sz w:val="20"/>
          <w:szCs w:val="20"/>
        </w:rPr>
        <w:t>the data from the MAC layer to the corresponding RLC entity.</w:t>
      </w:r>
    </w:p>
    <w:p w14:paraId="7D17CA8C" w14:textId="392A9ED7" w:rsidR="00265DE3" w:rsidRDefault="00265DE3" w:rsidP="00A404C6">
      <w:pPr>
        <w:pStyle w:val="IvDInstructiontext"/>
        <w:rPr>
          <w:rStyle w:val="IvDbodytextChar"/>
          <w:i w:val="0"/>
          <w:color w:val="auto"/>
          <w:sz w:val="20"/>
          <w:szCs w:val="20"/>
        </w:rPr>
      </w:pPr>
      <w:r>
        <w:rPr>
          <w:rStyle w:val="IvDbodytextChar"/>
          <w:i w:val="0"/>
          <w:color w:val="auto"/>
          <w:sz w:val="20"/>
          <w:szCs w:val="20"/>
        </w:rPr>
        <w:t xml:space="preserve">The LCID is a 5 bit field, and the mapping of the different LCID values is defined in </w:t>
      </w:r>
      <w:r w:rsidR="00596B74">
        <w:rPr>
          <w:rStyle w:val="IvDbodytextChar"/>
          <w:i w:val="0"/>
          <w:color w:val="auto"/>
          <w:sz w:val="20"/>
          <w:szCs w:val="20"/>
        </w:rPr>
        <w:t xml:space="preserve">TS </w:t>
      </w:r>
      <w:r>
        <w:rPr>
          <w:rStyle w:val="IvDbodytextChar"/>
          <w:i w:val="0"/>
          <w:color w:val="auto"/>
          <w:sz w:val="20"/>
          <w:szCs w:val="20"/>
        </w:rPr>
        <w:t xml:space="preserve">36.321 and depicted in Table 1. </w:t>
      </w:r>
      <w:r w:rsidR="001C747A">
        <w:rPr>
          <w:rStyle w:val="IvDbodytextChar"/>
          <w:i w:val="0"/>
          <w:color w:val="auto"/>
          <w:sz w:val="20"/>
          <w:szCs w:val="20"/>
        </w:rPr>
        <w:t>As can be seen from the table,</w:t>
      </w:r>
      <w:r w:rsidR="00596B74">
        <w:rPr>
          <w:rStyle w:val="IvDbodytextChar"/>
          <w:i w:val="0"/>
          <w:color w:val="auto"/>
          <w:sz w:val="20"/>
          <w:szCs w:val="20"/>
        </w:rPr>
        <w:t xml:space="preserve"> in LTE</w:t>
      </w:r>
      <w:r w:rsidR="001C747A">
        <w:rPr>
          <w:rStyle w:val="IvDbodytextChar"/>
          <w:i w:val="0"/>
          <w:color w:val="auto"/>
          <w:sz w:val="20"/>
          <w:szCs w:val="20"/>
        </w:rPr>
        <w:t xml:space="preserve"> the UE can </w:t>
      </w:r>
      <w:r w:rsidR="001C747A" w:rsidRPr="00983C05">
        <w:rPr>
          <w:rStyle w:val="IvDbodytextChar"/>
          <w:i w:val="0"/>
          <w:color w:val="auto"/>
          <w:sz w:val="20"/>
          <w:szCs w:val="20"/>
        </w:rPr>
        <w:t>support</w:t>
      </w:r>
      <w:r w:rsidR="007260FE" w:rsidRPr="00983C05">
        <w:rPr>
          <w:rStyle w:val="IvDbodytextChar"/>
          <w:i w:val="0"/>
          <w:color w:val="auto"/>
          <w:sz w:val="20"/>
          <w:szCs w:val="20"/>
        </w:rPr>
        <w:t xml:space="preserve"> a maximum of 8</w:t>
      </w:r>
      <w:r w:rsidR="001C747A" w:rsidRPr="00983C05">
        <w:rPr>
          <w:rStyle w:val="IvDbodytextChar"/>
          <w:i w:val="0"/>
          <w:color w:val="auto"/>
          <w:sz w:val="20"/>
          <w:szCs w:val="20"/>
        </w:rPr>
        <w:t xml:space="preserve"> DRBs</w:t>
      </w:r>
    </w:p>
    <w:p w14:paraId="40E58917" w14:textId="36758301" w:rsidR="00265DE3" w:rsidRPr="002F4F3B" w:rsidRDefault="00265DE3" w:rsidP="00265DE3">
      <w:pPr>
        <w:pStyle w:val="TH"/>
        <w:rPr>
          <w:noProof/>
        </w:rPr>
      </w:pPr>
      <w:r>
        <w:rPr>
          <w:noProof/>
        </w:rPr>
        <w:t>Table 1. Mapping of LCID values</w:t>
      </w:r>
    </w:p>
    <w:tbl>
      <w:tblPr>
        <w:tblStyle w:val="TableGrid"/>
        <w:tblW w:w="0" w:type="auto"/>
        <w:tblInd w:w="2547" w:type="dxa"/>
        <w:tblLook w:val="04A0" w:firstRow="1" w:lastRow="0" w:firstColumn="1" w:lastColumn="0" w:noHBand="0" w:noVBand="1"/>
      </w:tblPr>
      <w:tblGrid>
        <w:gridCol w:w="2267"/>
        <w:gridCol w:w="2269"/>
      </w:tblGrid>
      <w:tr w:rsidR="00265DE3" w14:paraId="2D81F41F" w14:textId="77777777" w:rsidTr="007260FE">
        <w:trPr>
          <w:trHeight w:val="88"/>
        </w:trPr>
        <w:tc>
          <w:tcPr>
            <w:tcW w:w="2267" w:type="dxa"/>
          </w:tcPr>
          <w:p w14:paraId="10C2C5DB" w14:textId="617206F3" w:rsidR="00265DE3" w:rsidRPr="00265DE3" w:rsidRDefault="00265DE3" w:rsidP="00265DE3">
            <w:pPr>
              <w:pStyle w:val="IvDInstructiontext"/>
              <w:rPr>
                <w:rStyle w:val="IvDbodytextChar"/>
                <w:b/>
                <w:i w:val="0"/>
                <w:color w:val="auto"/>
                <w:sz w:val="20"/>
                <w:szCs w:val="20"/>
              </w:rPr>
            </w:pPr>
            <w:r w:rsidRPr="00265DE3">
              <w:rPr>
                <w:rStyle w:val="IvDbodytextChar"/>
                <w:b/>
                <w:i w:val="0"/>
                <w:color w:val="auto"/>
                <w:sz w:val="20"/>
                <w:szCs w:val="20"/>
              </w:rPr>
              <w:t>Value(s)</w:t>
            </w:r>
          </w:p>
        </w:tc>
        <w:tc>
          <w:tcPr>
            <w:tcW w:w="2269" w:type="dxa"/>
          </w:tcPr>
          <w:p w14:paraId="1B2D221A" w14:textId="4B32871C" w:rsidR="00265DE3" w:rsidRPr="00265DE3" w:rsidRDefault="00265DE3" w:rsidP="00265DE3">
            <w:pPr>
              <w:pStyle w:val="IvDInstructiontext"/>
              <w:rPr>
                <w:rStyle w:val="IvDbodytextChar"/>
                <w:b/>
                <w:i w:val="0"/>
                <w:color w:val="auto"/>
                <w:sz w:val="20"/>
                <w:szCs w:val="20"/>
              </w:rPr>
            </w:pPr>
            <w:r w:rsidRPr="00265DE3">
              <w:rPr>
                <w:rStyle w:val="IvDbodytextChar"/>
                <w:b/>
                <w:i w:val="0"/>
                <w:color w:val="auto"/>
                <w:sz w:val="20"/>
                <w:szCs w:val="20"/>
              </w:rPr>
              <w:t>Usage</w:t>
            </w:r>
          </w:p>
        </w:tc>
      </w:tr>
      <w:tr w:rsidR="00265DE3" w14:paraId="3CC85D87" w14:textId="77777777" w:rsidTr="007260FE">
        <w:trPr>
          <w:trHeight w:val="70"/>
        </w:trPr>
        <w:tc>
          <w:tcPr>
            <w:tcW w:w="2267" w:type="dxa"/>
          </w:tcPr>
          <w:p w14:paraId="6D7F1756" w14:textId="6B87C34E" w:rsidR="00265DE3" w:rsidRDefault="00265DE3" w:rsidP="00A404C6">
            <w:pPr>
              <w:pStyle w:val="IvDInstructiontext"/>
              <w:rPr>
                <w:rStyle w:val="IvDbodytextChar"/>
                <w:i w:val="0"/>
                <w:color w:val="auto"/>
                <w:sz w:val="20"/>
                <w:szCs w:val="20"/>
              </w:rPr>
            </w:pPr>
            <w:r>
              <w:rPr>
                <w:rStyle w:val="IvDbodytextChar"/>
                <w:i w:val="0"/>
                <w:color w:val="auto"/>
                <w:sz w:val="20"/>
                <w:szCs w:val="20"/>
              </w:rPr>
              <w:t>1</w:t>
            </w:r>
          </w:p>
        </w:tc>
        <w:tc>
          <w:tcPr>
            <w:tcW w:w="2269" w:type="dxa"/>
          </w:tcPr>
          <w:p w14:paraId="3FAF226C" w14:textId="2F59DA42" w:rsidR="00265DE3" w:rsidRDefault="00265DE3" w:rsidP="00A404C6">
            <w:pPr>
              <w:pStyle w:val="IvDInstructiontext"/>
              <w:rPr>
                <w:rStyle w:val="IvDbodytextChar"/>
                <w:i w:val="0"/>
                <w:color w:val="auto"/>
                <w:sz w:val="20"/>
                <w:szCs w:val="20"/>
              </w:rPr>
            </w:pPr>
            <w:r>
              <w:rPr>
                <w:rStyle w:val="IvDbodytextChar"/>
                <w:i w:val="0"/>
                <w:color w:val="auto"/>
                <w:sz w:val="20"/>
                <w:szCs w:val="20"/>
              </w:rPr>
              <w:t>SRB1</w:t>
            </w:r>
          </w:p>
        </w:tc>
      </w:tr>
      <w:tr w:rsidR="00265DE3" w14:paraId="2C17D40B" w14:textId="77777777" w:rsidTr="007260FE">
        <w:trPr>
          <w:trHeight w:val="70"/>
        </w:trPr>
        <w:tc>
          <w:tcPr>
            <w:tcW w:w="2267" w:type="dxa"/>
          </w:tcPr>
          <w:p w14:paraId="6DB8EB24" w14:textId="34DE12E1" w:rsidR="00265DE3" w:rsidRDefault="00265DE3" w:rsidP="00A404C6">
            <w:pPr>
              <w:pStyle w:val="IvDInstructiontext"/>
              <w:rPr>
                <w:rStyle w:val="IvDbodytextChar"/>
                <w:i w:val="0"/>
                <w:color w:val="auto"/>
                <w:sz w:val="20"/>
                <w:szCs w:val="20"/>
              </w:rPr>
            </w:pPr>
            <w:r>
              <w:rPr>
                <w:rStyle w:val="IvDbodytextChar"/>
                <w:i w:val="0"/>
                <w:color w:val="auto"/>
                <w:sz w:val="20"/>
                <w:szCs w:val="20"/>
              </w:rPr>
              <w:t>2</w:t>
            </w:r>
          </w:p>
        </w:tc>
        <w:tc>
          <w:tcPr>
            <w:tcW w:w="2269" w:type="dxa"/>
          </w:tcPr>
          <w:p w14:paraId="6A21C1E1" w14:textId="64944659" w:rsidR="00265DE3" w:rsidRDefault="00265DE3" w:rsidP="00A404C6">
            <w:pPr>
              <w:pStyle w:val="IvDInstructiontext"/>
              <w:rPr>
                <w:rStyle w:val="IvDbodytextChar"/>
                <w:i w:val="0"/>
                <w:color w:val="auto"/>
                <w:sz w:val="20"/>
                <w:szCs w:val="20"/>
              </w:rPr>
            </w:pPr>
            <w:r>
              <w:rPr>
                <w:rStyle w:val="IvDbodytextChar"/>
                <w:i w:val="0"/>
                <w:color w:val="auto"/>
                <w:sz w:val="20"/>
                <w:szCs w:val="20"/>
              </w:rPr>
              <w:t>SRB2</w:t>
            </w:r>
          </w:p>
        </w:tc>
      </w:tr>
      <w:tr w:rsidR="00265DE3" w14:paraId="780FE9DF" w14:textId="77777777" w:rsidTr="007260FE">
        <w:trPr>
          <w:trHeight w:val="70"/>
        </w:trPr>
        <w:tc>
          <w:tcPr>
            <w:tcW w:w="2267" w:type="dxa"/>
          </w:tcPr>
          <w:p w14:paraId="292E74C7" w14:textId="226034F8" w:rsidR="00265DE3" w:rsidRPr="007260FE" w:rsidRDefault="00265DE3" w:rsidP="00A404C6">
            <w:pPr>
              <w:pStyle w:val="IvDInstructiontext"/>
              <w:rPr>
                <w:rStyle w:val="IvDbodytextChar"/>
                <w:i w:val="0"/>
                <w:color w:val="auto"/>
                <w:sz w:val="20"/>
                <w:szCs w:val="20"/>
              </w:rPr>
            </w:pPr>
            <w:r w:rsidRPr="007260FE">
              <w:rPr>
                <w:rStyle w:val="IvDbodytextChar"/>
                <w:i w:val="0"/>
                <w:color w:val="auto"/>
                <w:sz w:val="20"/>
                <w:szCs w:val="20"/>
              </w:rPr>
              <w:t>3</w:t>
            </w:r>
          </w:p>
        </w:tc>
        <w:tc>
          <w:tcPr>
            <w:tcW w:w="2269" w:type="dxa"/>
          </w:tcPr>
          <w:p w14:paraId="7642B468" w14:textId="4834554C" w:rsidR="00265DE3" w:rsidRPr="007260FE" w:rsidRDefault="00265DE3" w:rsidP="00A404C6">
            <w:pPr>
              <w:pStyle w:val="IvDInstructiontext"/>
              <w:rPr>
                <w:rStyle w:val="IvDbodytextChar"/>
                <w:i w:val="0"/>
                <w:color w:val="auto"/>
                <w:sz w:val="20"/>
                <w:szCs w:val="20"/>
              </w:rPr>
            </w:pPr>
            <w:r w:rsidRPr="007260FE">
              <w:rPr>
                <w:rStyle w:val="IvDbodytextChar"/>
                <w:i w:val="0"/>
                <w:color w:val="auto"/>
                <w:sz w:val="20"/>
                <w:szCs w:val="20"/>
              </w:rPr>
              <w:t>SRB1bis</w:t>
            </w:r>
            <w:r w:rsidR="007260FE" w:rsidRPr="007260FE">
              <w:rPr>
                <w:rStyle w:val="FootnoteReference"/>
                <w:i w:val="0"/>
                <w:color w:val="auto"/>
                <w:lang w:val="en-GB" w:eastAsia="zh-CN"/>
              </w:rPr>
              <w:footnoteReference w:id="1"/>
            </w:r>
          </w:p>
        </w:tc>
      </w:tr>
      <w:tr w:rsidR="00265DE3" w14:paraId="3F6981CC" w14:textId="77777777" w:rsidTr="00265DE3">
        <w:tc>
          <w:tcPr>
            <w:tcW w:w="2267" w:type="dxa"/>
          </w:tcPr>
          <w:p w14:paraId="158C0607" w14:textId="332669EC" w:rsidR="00265DE3" w:rsidRDefault="007260FE" w:rsidP="00A404C6">
            <w:pPr>
              <w:pStyle w:val="IvDInstructiontext"/>
              <w:rPr>
                <w:rStyle w:val="IvDbodytextChar"/>
                <w:i w:val="0"/>
                <w:color w:val="auto"/>
                <w:sz w:val="20"/>
                <w:szCs w:val="20"/>
              </w:rPr>
            </w:pPr>
            <w:r>
              <w:rPr>
                <w:rStyle w:val="IvDbodytextChar"/>
                <w:i w:val="0"/>
                <w:color w:val="auto"/>
                <w:sz w:val="20"/>
                <w:szCs w:val="20"/>
              </w:rPr>
              <w:t>3</w:t>
            </w:r>
            <w:r w:rsidR="00265DE3">
              <w:rPr>
                <w:rStyle w:val="IvDbodytextChar"/>
                <w:i w:val="0"/>
                <w:color w:val="auto"/>
                <w:sz w:val="20"/>
                <w:szCs w:val="20"/>
              </w:rPr>
              <w:t>-10</w:t>
            </w:r>
          </w:p>
        </w:tc>
        <w:tc>
          <w:tcPr>
            <w:tcW w:w="2269" w:type="dxa"/>
          </w:tcPr>
          <w:p w14:paraId="37CFF151" w14:textId="49FAE5D4" w:rsidR="00265DE3" w:rsidRDefault="00265DE3" w:rsidP="00A404C6">
            <w:pPr>
              <w:pStyle w:val="IvDInstructiontext"/>
              <w:rPr>
                <w:rStyle w:val="IvDbodytextChar"/>
                <w:i w:val="0"/>
                <w:color w:val="auto"/>
                <w:sz w:val="20"/>
                <w:szCs w:val="20"/>
              </w:rPr>
            </w:pPr>
            <w:r>
              <w:rPr>
                <w:rStyle w:val="IvDbodytextChar"/>
                <w:i w:val="0"/>
                <w:color w:val="auto"/>
                <w:sz w:val="20"/>
                <w:szCs w:val="20"/>
              </w:rPr>
              <w:t>DRBs</w:t>
            </w:r>
          </w:p>
        </w:tc>
      </w:tr>
      <w:tr w:rsidR="00265DE3" w14:paraId="389EA804" w14:textId="77777777" w:rsidTr="00265DE3">
        <w:tc>
          <w:tcPr>
            <w:tcW w:w="2267" w:type="dxa"/>
          </w:tcPr>
          <w:p w14:paraId="4DA552FD" w14:textId="469CB00E" w:rsidR="00265DE3" w:rsidRDefault="00952E6C" w:rsidP="00A404C6">
            <w:pPr>
              <w:pStyle w:val="IvDInstructiontext"/>
              <w:rPr>
                <w:rStyle w:val="IvDbodytextChar"/>
                <w:i w:val="0"/>
                <w:color w:val="auto"/>
                <w:sz w:val="20"/>
                <w:szCs w:val="20"/>
              </w:rPr>
            </w:pPr>
            <w:r>
              <w:rPr>
                <w:rStyle w:val="IvDbodytextChar"/>
                <w:i w:val="0"/>
                <w:color w:val="auto"/>
                <w:sz w:val="20"/>
                <w:szCs w:val="20"/>
              </w:rPr>
              <w:t xml:space="preserve">0, </w:t>
            </w:r>
            <w:r w:rsidR="00265DE3">
              <w:rPr>
                <w:rStyle w:val="IvDbodytextChar"/>
                <w:i w:val="0"/>
                <w:color w:val="auto"/>
                <w:sz w:val="20"/>
                <w:szCs w:val="20"/>
              </w:rPr>
              <w:t>11-31</w:t>
            </w:r>
          </w:p>
        </w:tc>
        <w:tc>
          <w:tcPr>
            <w:tcW w:w="2269" w:type="dxa"/>
          </w:tcPr>
          <w:p w14:paraId="5A6D929E" w14:textId="6975B25F" w:rsidR="00265DE3" w:rsidRDefault="00952E6C" w:rsidP="00A404C6">
            <w:pPr>
              <w:pStyle w:val="IvDInstructiontext"/>
              <w:rPr>
                <w:rStyle w:val="IvDbodytextChar"/>
                <w:i w:val="0"/>
                <w:color w:val="auto"/>
                <w:sz w:val="20"/>
                <w:szCs w:val="20"/>
              </w:rPr>
            </w:pPr>
            <w:r>
              <w:rPr>
                <w:rStyle w:val="IvDbodytextChar"/>
                <w:i w:val="0"/>
                <w:color w:val="auto"/>
                <w:sz w:val="20"/>
                <w:szCs w:val="20"/>
              </w:rPr>
              <w:t>CCCH/</w:t>
            </w:r>
            <w:r w:rsidR="00265DE3">
              <w:rPr>
                <w:rStyle w:val="IvDbodytextChar"/>
                <w:i w:val="0"/>
                <w:color w:val="auto"/>
                <w:sz w:val="20"/>
                <w:szCs w:val="20"/>
              </w:rPr>
              <w:t>MAC control related</w:t>
            </w:r>
            <w:r w:rsidR="00912DC3">
              <w:rPr>
                <w:rStyle w:val="IvDbodytextChar"/>
                <w:i w:val="0"/>
                <w:color w:val="auto"/>
                <w:sz w:val="20"/>
                <w:szCs w:val="20"/>
              </w:rPr>
              <w:t>/reserved</w:t>
            </w:r>
          </w:p>
        </w:tc>
      </w:tr>
    </w:tbl>
    <w:p w14:paraId="21DFF7F9" w14:textId="77777777" w:rsidR="00265DE3" w:rsidRDefault="004B4389" w:rsidP="00A404C6">
      <w:pPr>
        <w:pStyle w:val="IvDInstructiontext"/>
        <w:rPr>
          <w:rStyle w:val="IvDbodytextChar"/>
          <w:i w:val="0"/>
          <w:color w:val="auto"/>
          <w:sz w:val="20"/>
          <w:szCs w:val="20"/>
        </w:rPr>
      </w:pPr>
      <w:r>
        <w:rPr>
          <w:rStyle w:val="IvDbodytextChar"/>
          <w:i w:val="0"/>
          <w:color w:val="auto"/>
          <w:sz w:val="20"/>
          <w:szCs w:val="20"/>
        </w:rPr>
        <w:lastRenderedPageBreak/>
        <w:t xml:space="preserve"> </w:t>
      </w:r>
    </w:p>
    <w:p w14:paraId="11F1FD2E" w14:textId="2082B4E3" w:rsidR="00265DE3" w:rsidRPr="00CE0424" w:rsidRDefault="0059294A" w:rsidP="00265DE3">
      <w:pPr>
        <w:pStyle w:val="Heading2"/>
      </w:pPr>
      <w:r>
        <w:t>Handling split SRB</w:t>
      </w:r>
      <w:r w:rsidR="00265DE3">
        <w:t xml:space="preserve"> and </w:t>
      </w:r>
      <w:r w:rsidR="0077548C">
        <w:t>SCG</w:t>
      </w:r>
      <w:r w:rsidR="00265DE3">
        <w:t xml:space="preserve"> SRB</w:t>
      </w:r>
    </w:p>
    <w:p w14:paraId="67EB14CE" w14:textId="3105F9CB" w:rsidR="00E27897" w:rsidRDefault="00265DE3" w:rsidP="00A404C6">
      <w:pPr>
        <w:pStyle w:val="IvDInstructiontext"/>
        <w:rPr>
          <w:rStyle w:val="IvDbodytextChar"/>
          <w:i w:val="0"/>
          <w:color w:val="auto"/>
          <w:sz w:val="20"/>
          <w:szCs w:val="20"/>
        </w:rPr>
      </w:pPr>
      <w:r>
        <w:rPr>
          <w:rStyle w:val="IvDbodytextChar"/>
          <w:i w:val="0"/>
          <w:color w:val="auto"/>
          <w:sz w:val="20"/>
          <w:szCs w:val="20"/>
        </w:rPr>
        <w:t xml:space="preserve">As mentioned above, RAN2 has agreed that there is only one SRB for the </w:t>
      </w:r>
      <w:r w:rsidR="00CB21BE">
        <w:rPr>
          <w:rStyle w:val="IvDbodytextChar"/>
          <w:i w:val="0"/>
          <w:color w:val="auto"/>
          <w:sz w:val="20"/>
          <w:szCs w:val="20"/>
        </w:rPr>
        <w:t>SCG SRB</w:t>
      </w:r>
      <w:r>
        <w:rPr>
          <w:rStyle w:val="IvDbodytextChar"/>
          <w:i w:val="0"/>
          <w:color w:val="auto"/>
          <w:sz w:val="20"/>
          <w:szCs w:val="20"/>
        </w:rPr>
        <w:t xml:space="preserve"> and </w:t>
      </w:r>
      <w:r w:rsidR="003B0E81">
        <w:rPr>
          <w:rStyle w:val="IvDbodytextChar"/>
          <w:i w:val="0"/>
          <w:color w:val="auto"/>
          <w:sz w:val="20"/>
          <w:szCs w:val="20"/>
        </w:rPr>
        <w:t>it will be used only for (a subset of) SRB1 me</w:t>
      </w:r>
      <w:r w:rsidR="00CB21BE">
        <w:rPr>
          <w:rStyle w:val="IvDbodytextChar"/>
          <w:i w:val="0"/>
          <w:color w:val="auto"/>
          <w:sz w:val="20"/>
          <w:szCs w:val="20"/>
        </w:rPr>
        <w:t xml:space="preserve">ssages. Thus, a straight </w:t>
      </w:r>
      <w:r w:rsidR="003B0E81">
        <w:rPr>
          <w:rStyle w:val="IvDbodytextChar"/>
          <w:i w:val="0"/>
          <w:color w:val="auto"/>
          <w:sz w:val="20"/>
          <w:szCs w:val="20"/>
        </w:rPr>
        <w:t xml:space="preserve">way forward will be to reuse the SRB1 LCID </w:t>
      </w:r>
      <w:r w:rsidR="00C01DEF">
        <w:rPr>
          <w:rStyle w:val="IvDbodytextChar"/>
          <w:i w:val="0"/>
          <w:color w:val="auto"/>
          <w:sz w:val="20"/>
          <w:szCs w:val="20"/>
        </w:rPr>
        <w:t xml:space="preserve">in NR MAC </w:t>
      </w:r>
      <w:r w:rsidR="003B0E81">
        <w:rPr>
          <w:rStyle w:val="IvDbodytextChar"/>
          <w:i w:val="0"/>
          <w:color w:val="auto"/>
          <w:sz w:val="20"/>
          <w:szCs w:val="20"/>
        </w:rPr>
        <w:t xml:space="preserve">also for the </w:t>
      </w:r>
      <w:r w:rsidR="00CB21BE">
        <w:rPr>
          <w:rStyle w:val="IvDbodytextChar"/>
          <w:i w:val="0"/>
          <w:color w:val="auto"/>
          <w:sz w:val="20"/>
          <w:szCs w:val="20"/>
        </w:rPr>
        <w:t xml:space="preserve">SCG </w:t>
      </w:r>
      <w:r w:rsidR="003B0E81">
        <w:rPr>
          <w:rStyle w:val="IvDbodytextChar"/>
          <w:i w:val="0"/>
          <w:color w:val="auto"/>
          <w:sz w:val="20"/>
          <w:szCs w:val="20"/>
        </w:rPr>
        <w:t xml:space="preserve">SRB from the SN. </w:t>
      </w:r>
      <w:r w:rsidR="00E27897">
        <w:rPr>
          <w:rStyle w:val="IvDbodytextChar"/>
          <w:i w:val="0"/>
          <w:color w:val="auto"/>
          <w:sz w:val="20"/>
          <w:szCs w:val="20"/>
        </w:rPr>
        <w:t>If spl</w:t>
      </w:r>
      <w:r w:rsidR="00CB21BE">
        <w:rPr>
          <w:rStyle w:val="IvDbodytextChar"/>
          <w:i w:val="0"/>
          <w:color w:val="auto"/>
          <w:sz w:val="20"/>
          <w:szCs w:val="20"/>
        </w:rPr>
        <w:t xml:space="preserve">it SRB1 is not configured, </w:t>
      </w:r>
      <w:r w:rsidR="00E27897">
        <w:rPr>
          <w:rStyle w:val="IvDbodytextChar"/>
          <w:i w:val="0"/>
          <w:color w:val="auto"/>
          <w:sz w:val="20"/>
          <w:szCs w:val="20"/>
        </w:rPr>
        <w:t xml:space="preserve">that will not be a problem because the NR MAC of the </w:t>
      </w:r>
      <w:r w:rsidR="00295A1B">
        <w:rPr>
          <w:rStyle w:val="IvDbodytextChar"/>
          <w:i w:val="0"/>
          <w:color w:val="auto"/>
          <w:sz w:val="20"/>
          <w:szCs w:val="20"/>
        </w:rPr>
        <w:t>receiver</w:t>
      </w:r>
      <w:r w:rsidR="00E27897">
        <w:rPr>
          <w:rStyle w:val="IvDbodytextChar"/>
          <w:i w:val="0"/>
          <w:color w:val="auto"/>
          <w:sz w:val="20"/>
          <w:szCs w:val="20"/>
        </w:rPr>
        <w:t xml:space="preserve">, when receiving a MAC PDU that has LCID value of 1, will immediately know that this data </w:t>
      </w:r>
      <w:r w:rsidR="00CB21BE">
        <w:rPr>
          <w:rStyle w:val="IvDbodytextChar"/>
          <w:i w:val="0"/>
          <w:color w:val="auto"/>
          <w:sz w:val="20"/>
          <w:szCs w:val="20"/>
        </w:rPr>
        <w:t xml:space="preserve">belongs </w:t>
      </w:r>
      <w:r w:rsidR="00E27897">
        <w:rPr>
          <w:rStyle w:val="IvDbodytextChar"/>
          <w:i w:val="0"/>
          <w:color w:val="auto"/>
          <w:sz w:val="20"/>
          <w:szCs w:val="20"/>
        </w:rPr>
        <w:t xml:space="preserve">to the </w:t>
      </w:r>
      <w:r w:rsidR="00CB21BE">
        <w:rPr>
          <w:rStyle w:val="IvDbodytextChar"/>
          <w:i w:val="0"/>
          <w:color w:val="auto"/>
          <w:sz w:val="20"/>
          <w:szCs w:val="20"/>
        </w:rPr>
        <w:t>SCG SRB</w:t>
      </w:r>
      <w:r w:rsidR="00E27897">
        <w:rPr>
          <w:rStyle w:val="IvDbodytextChar"/>
          <w:i w:val="0"/>
          <w:color w:val="auto"/>
          <w:sz w:val="20"/>
          <w:szCs w:val="20"/>
        </w:rPr>
        <w:t xml:space="preserve">. The data corresponding to SRB1 will only be received at the LTE MAC of the </w:t>
      </w:r>
      <w:r w:rsidR="00295A1B">
        <w:rPr>
          <w:rStyle w:val="IvDbodytextChar"/>
          <w:i w:val="0"/>
          <w:color w:val="auto"/>
          <w:sz w:val="20"/>
          <w:szCs w:val="20"/>
        </w:rPr>
        <w:t>receiver</w:t>
      </w:r>
      <w:r w:rsidR="00E27897">
        <w:rPr>
          <w:rStyle w:val="IvDbodytextChar"/>
          <w:i w:val="0"/>
          <w:color w:val="auto"/>
          <w:sz w:val="20"/>
          <w:szCs w:val="20"/>
        </w:rPr>
        <w:t xml:space="preserve">, and </w:t>
      </w:r>
      <w:r w:rsidR="00CB21BE">
        <w:rPr>
          <w:rStyle w:val="IvDbodytextChar"/>
          <w:i w:val="0"/>
          <w:color w:val="auto"/>
          <w:sz w:val="20"/>
          <w:szCs w:val="20"/>
        </w:rPr>
        <w:t>thus is also clearly identified</w:t>
      </w:r>
      <w:r w:rsidR="00E27897">
        <w:rPr>
          <w:rStyle w:val="IvDbodytextChar"/>
          <w:i w:val="0"/>
          <w:color w:val="auto"/>
          <w:sz w:val="20"/>
          <w:szCs w:val="20"/>
        </w:rPr>
        <w:t xml:space="preserve"> </w:t>
      </w:r>
      <w:r w:rsidR="00CB21BE">
        <w:rPr>
          <w:rStyle w:val="IvDbodytextChar"/>
          <w:i w:val="0"/>
          <w:color w:val="auto"/>
          <w:sz w:val="20"/>
          <w:szCs w:val="20"/>
        </w:rPr>
        <w:t xml:space="preserve">and </w:t>
      </w:r>
      <w:r w:rsidR="00E27897">
        <w:rPr>
          <w:rStyle w:val="IvDbodytextChar"/>
          <w:i w:val="0"/>
          <w:color w:val="auto"/>
          <w:sz w:val="20"/>
          <w:szCs w:val="20"/>
        </w:rPr>
        <w:t xml:space="preserve">mapped to </w:t>
      </w:r>
      <w:r w:rsidR="00CB21BE">
        <w:rPr>
          <w:rStyle w:val="IvDbodytextChar"/>
          <w:i w:val="0"/>
          <w:color w:val="auto"/>
          <w:sz w:val="20"/>
          <w:szCs w:val="20"/>
        </w:rPr>
        <w:t xml:space="preserve">the corresponding </w:t>
      </w:r>
      <w:r w:rsidR="00E27897">
        <w:rPr>
          <w:rStyle w:val="IvDbodytextChar"/>
          <w:i w:val="0"/>
          <w:color w:val="auto"/>
          <w:sz w:val="20"/>
          <w:szCs w:val="20"/>
        </w:rPr>
        <w:t xml:space="preserve">SRB1 </w:t>
      </w:r>
      <w:r w:rsidR="00CB21BE">
        <w:rPr>
          <w:rStyle w:val="IvDbodytextChar"/>
          <w:i w:val="0"/>
          <w:color w:val="auto"/>
          <w:sz w:val="20"/>
          <w:szCs w:val="20"/>
        </w:rPr>
        <w:t xml:space="preserve">RLC and PDCP entities. </w:t>
      </w:r>
    </w:p>
    <w:p w14:paraId="1A647BB0" w14:textId="7BAD9F64" w:rsidR="00CB28F3" w:rsidRDefault="003B0E81" w:rsidP="00A404C6">
      <w:pPr>
        <w:pStyle w:val="IvDInstructiontext"/>
        <w:rPr>
          <w:rStyle w:val="IvDbodytextChar"/>
          <w:i w:val="0"/>
          <w:color w:val="auto"/>
          <w:sz w:val="20"/>
          <w:szCs w:val="20"/>
        </w:rPr>
      </w:pPr>
      <w:r>
        <w:rPr>
          <w:rStyle w:val="IvDbodytextChar"/>
          <w:i w:val="0"/>
          <w:color w:val="auto"/>
          <w:sz w:val="20"/>
          <w:szCs w:val="20"/>
        </w:rPr>
        <w:t xml:space="preserve">However, </w:t>
      </w:r>
      <w:r w:rsidR="00E27897">
        <w:rPr>
          <w:rStyle w:val="IvDbodytextChar"/>
          <w:i w:val="0"/>
          <w:color w:val="auto"/>
          <w:sz w:val="20"/>
          <w:szCs w:val="20"/>
        </w:rPr>
        <w:t xml:space="preserve">a confusion will result at the receiver </w:t>
      </w:r>
      <w:r>
        <w:rPr>
          <w:rStyle w:val="IvDbodytextChar"/>
          <w:i w:val="0"/>
          <w:color w:val="auto"/>
          <w:sz w:val="20"/>
          <w:szCs w:val="20"/>
        </w:rPr>
        <w:t>if split SRB1</w:t>
      </w:r>
      <w:r w:rsidR="00C92058">
        <w:rPr>
          <w:rStyle w:val="IvDbodytextChar"/>
          <w:i w:val="0"/>
          <w:color w:val="auto"/>
          <w:sz w:val="20"/>
          <w:szCs w:val="20"/>
        </w:rPr>
        <w:t xml:space="preserve"> is </w:t>
      </w:r>
      <w:r w:rsidR="005D2BC4">
        <w:rPr>
          <w:rStyle w:val="IvDbodytextChar"/>
          <w:i w:val="0"/>
          <w:color w:val="auto"/>
          <w:sz w:val="20"/>
          <w:szCs w:val="20"/>
        </w:rPr>
        <w:t xml:space="preserve">also </w:t>
      </w:r>
      <w:r w:rsidR="00C92058">
        <w:rPr>
          <w:rStyle w:val="IvDbodytextChar"/>
          <w:i w:val="0"/>
          <w:color w:val="auto"/>
          <w:sz w:val="20"/>
          <w:szCs w:val="20"/>
        </w:rPr>
        <w:t>configured</w:t>
      </w:r>
      <w:r>
        <w:rPr>
          <w:rStyle w:val="IvDbodytextChar"/>
          <w:i w:val="0"/>
          <w:color w:val="auto"/>
          <w:sz w:val="20"/>
          <w:szCs w:val="20"/>
        </w:rPr>
        <w:t>. This is illustrated in Figure 3</w:t>
      </w:r>
      <w:r w:rsidR="001C747A">
        <w:rPr>
          <w:rStyle w:val="IvDbodytextChar"/>
          <w:i w:val="0"/>
          <w:color w:val="auto"/>
          <w:sz w:val="20"/>
          <w:szCs w:val="20"/>
        </w:rPr>
        <w:t xml:space="preserve">. </w:t>
      </w:r>
      <w:r w:rsidR="00E27897">
        <w:rPr>
          <w:rStyle w:val="IvDbodytextChar"/>
          <w:i w:val="0"/>
          <w:color w:val="auto"/>
          <w:sz w:val="20"/>
          <w:szCs w:val="20"/>
        </w:rPr>
        <w:t xml:space="preserve">As can be seen in the figure, both the split SRB1 and </w:t>
      </w:r>
      <w:r w:rsidR="00295A1B">
        <w:rPr>
          <w:rStyle w:val="IvDbodytextChar"/>
          <w:i w:val="0"/>
          <w:color w:val="auto"/>
          <w:sz w:val="20"/>
          <w:szCs w:val="20"/>
        </w:rPr>
        <w:t>SCG</w:t>
      </w:r>
      <w:r w:rsidR="00E27897">
        <w:rPr>
          <w:rStyle w:val="IvDbodytextChar"/>
          <w:i w:val="0"/>
          <w:color w:val="auto"/>
          <w:sz w:val="20"/>
          <w:szCs w:val="20"/>
        </w:rPr>
        <w:t xml:space="preserve"> SRB from the NR RRC will generate a MAC PDU that will have a header with an LCID set to 1. When the UE receives these PDU</w:t>
      </w:r>
      <w:r w:rsidR="00295A1B">
        <w:rPr>
          <w:rStyle w:val="IvDbodytextChar"/>
          <w:i w:val="0"/>
          <w:color w:val="auto"/>
          <w:sz w:val="20"/>
          <w:szCs w:val="20"/>
        </w:rPr>
        <w:t>s</w:t>
      </w:r>
      <w:r w:rsidR="00E27897">
        <w:rPr>
          <w:rStyle w:val="IvDbodytextChar"/>
          <w:i w:val="0"/>
          <w:color w:val="auto"/>
          <w:sz w:val="20"/>
          <w:szCs w:val="20"/>
        </w:rPr>
        <w:t xml:space="preserve"> </w:t>
      </w:r>
      <w:r w:rsidR="00295A1B">
        <w:rPr>
          <w:rStyle w:val="IvDbodytextChar"/>
          <w:i w:val="0"/>
          <w:color w:val="auto"/>
          <w:sz w:val="20"/>
          <w:szCs w:val="20"/>
        </w:rPr>
        <w:t>at</w:t>
      </w:r>
      <w:r w:rsidR="00E27897">
        <w:rPr>
          <w:rStyle w:val="IvDbodytextChar"/>
          <w:i w:val="0"/>
          <w:color w:val="auto"/>
          <w:sz w:val="20"/>
          <w:szCs w:val="20"/>
        </w:rPr>
        <w:t xml:space="preserve"> the NR MAC (in the case of DL data), it will not be able to </w:t>
      </w:r>
      <w:r w:rsidR="00C92058">
        <w:rPr>
          <w:rStyle w:val="IvDbodytextChar"/>
          <w:i w:val="0"/>
          <w:color w:val="auto"/>
          <w:sz w:val="20"/>
          <w:szCs w:val="20"/>
        </w:rPr>
        <w:t>determine</w:t>
      </w:r>
      <w:r w:rsidR="00E27897">
        <w:rPr>
          <w:rStyle w:val="IvDbodytextChar"/>
          <w:i w:val="0"/>
          <w:color w:val="auto"/>
          <w:sz w:val="20"/>
          <w:szCs w:val="20"/>
        </w:rPr>
        <w:t xml:space="preserve"> whether to forward them to the RLC entity that is mapped to the split SRB (which is then further forwarded to the LTE side) or to push it to the RLC entity that is mapped to the </w:t>
      </w:r>
      <w:r w:rsidR="00295A1B">
        <w:rPr>
          <w:rStyle w:val="IvDbodytextChar"/>
          <w:i w:val="0"/>
          <w:color w:val="auto"/>
          <w:sz w:val="20"/>
          <w:szCs w:val="20"/>
        </w:rPr>
        <w:t xml:space="preserve">SCG </w:t>
      </w:r>
      <w:r w:rsidR="00E27897">
        <w:rPr>
          <w:rStyle w:val="IvDbodytextChar"/>
          <w:i w:val="0"/>
          <w:color w:val="auto"/>
          <w:sz w:val="20"/>
          <w:szCs w:val="20"/>
        </w:rPr>
        <w:t xml:space="preserve">SRB from SN (which is then further forwarded to the NR </w:t>
      </w:r>
      <w:r w:rsidR="00295A1B">
        <w:rPr>
          <w:rStyle w:val="IvDbodytextChar"/>
          <w:i w:val="0"/>
          <w:color w:val="auto"/>
          <w:sz w:val="20"/>
          <w:szCs w:val="20"/>
        </w:rPr>
        <w:t xml:space="preserve">PDCP and </w:t>
      </w:r>
      <w:r w:rsidR="00E27897">
        <w:rPr>
          <w:rStyle w:val="IvDbodytextChar"/>
          <w:i w:val="0"/>
          <w:color w:val="auto"/>
          <w:sz w:val="20"/>
          <w:szCs w:val="20"/>
        </w:rPr>
        <w:t>RRC). The situation is similar for UL data reception at the NR MAC. Thus, it will not be possible t</w:t>
      </w:r>
      <w:r w:rsidR="00295A1B">
        <w:rPr>
          <w:rStyle w:val="IvDbodytextChar"/>
          <w:i w:val="0"/>
          <w:color w:val="auto"/>
          <w:sz w:val="20"/>
          <w:szCs w:val="20"/>
        </w:rPr>
        <w:t>o reuse LCID of 1 for the SCG</w:t>
      </w:r>
      <w:r w:rsidR="00E27897">
        <w:rPr>
          <w:rStyle w:val="IvDbodytextChar"/>
          <w:i w:val="0"/>
          <w:color w:val="auto"/>
          <w:sz w:val="20"/>
          <w:szCs w:val="20"/>
        </w:rPr>
        <w:t xml:space="preserve"> SRB if split SRB1 is also configured.</w:t>
      </w:r>
      <w:r w:rsidR="00B46294">
        <w:rPr>
          <w:rStyle w:val="IvDbodytextChar"/>
          <w:i w:val="0"/>
          <w:color w:val="auto"/>
          <w:sz w:val="20"/>
          <w:szCs w:val="20"/>
        </w:rPr>
        <w:t xml:space="preserve"> </w:t>
      </w:r>
    </w:p>
    <w:p w14:paraId="149CAB40" w14:textId="77777777" w:rsidR="003B0E81" w:rsidRPr="00265DE3" w:rsidRDefault="003B0E81" w:rsidP="00A404C6">
      <w:pPr>
        <w:pStyle w:val="IvDInstructiontext"/>
        <w:rPr>
          <w:rStyle w:val="IvDbodytextChar"/>
          <w:i w:val="0"/>
          <w:color w:val="auto"/>
          <w:sz w:val="20"/>
          <w:szCs w:val="20"/>
        </w:rPr>
      </w:pPr>
    </w:p>
    <w:p w14:paraId="60EBA1C8" w14:textId="4C2402B5" w:rsidR="00265DE3" w:rsidRDefault="003B0E81" w:rsidP="00A404C6">
      <w:pPr>
        <w:pStyle w:val="IvDInstructiontext"/>
      </w:pPr>
      <w:r>
        <w:object w:dxaOrig="11820" w:dyaOrig="4890" w14:anchorId="299A6D40">
          <v:shape id="_x0000_i1027" type="#_x0000_t75" style="width:481.5pt;height:199.5pt" o:ole="">
            <v:imagedata r:id="rId18" o:title=""/>
          </v:shape>
          <o:OLEObject Type="Embed" ProgID="Visio.Drawing.15" ShapeID="_x0000_i1027" DrawAspect="Content" ObjectID="_1555510403" r:id="rId19"/>
        </w:object>
      </w:r>
    </w:p>
    <w:p w14:paraId="1C88A8A8" w14:textId="7309154B" w:rsidR="00C92058" w:rsidRDefault="00C92058" w:rsidP="005D2BC4">
      <w:pPr>
        <w:pStyle w:val="Caption"/>
        <w:rPr>
          <w:rStyle w:val="IvDbodytextChar"/>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0731A0">
        <w:t xml:space="preserve">NR MAC </w:t>
      </w:r>
      <w:r>
        <w:t>LCID confusion with simultaneous split SRB and SCG SRB</w:t>
      </w:r>
    </w:p>
    <w:p w14:paraId="63B5AF1D" w14:textId="5E20E39B" w:rsidR="00BE483A" w:rsidRDefault="00BE483A" w:rsidP="00BE483A">
      <w:pPr>
        <w:pStyle w:val="Observation"/>
        <w:numPr>
          <w:ilvl w:val="0"/>
          <w:numId w:val="20"/>
        </w:numPr>
        <w:ind w:left="1701" w:hanging="1701"/>
      </w:pPr>
      <w:r>
        <w:t xml:space="preserve">The usage of the same LCID for split SRB and </w:t>
      </w:r>
      <w:r w:rsidR="0077548C">
        <w:t>SCG</w:t>
      </w:r>
      <w:r>
        <w:t xml:space="preserve"> SRB will cause confusion at the </w:t>
      </w:r>
      <w:r w:rsidR="0059294A">
        <w:t xml:space="preserve">NR </w:t>
      </w:r>
      <w:r>
        <w:t>MAC level.</w:t>
      </w:r>
    </w:p>
    <w:p w14:paraId="0804D8FE" w14:textId="2B3E13C9" w:rsidR="00265DE3" w:rsidRDefault="00E27897" w:rsidP="00A404C6">
      <w:pPr>
        <w:pStyle w:val="IvDInstructiontext"/>
        <w:rPr>
          <w:rStyle w:val="IvDbodytextChar"/>
          <w:i w:val="0"/>
          <w:color w:val="auto"/>
          <w:sz w:val="20"/>
          <w:szCs w:val="20"/>
        </w:rPr>
      </w:pPr>
      <w:r>
        <w:rPr>
          <w:rStyle w:val="IvDbodytextChar"/>
          <w:i w:val="0"/>
          <w:color w:val="auto"/>
          <w:sz w:val="20"/>
          <w:szCs w:val="20"/>
        </w:rPr>
        <w:t xml:space="preserve">This problem can be mitigated if we use a different LCID for the </w:t>
      </w:r>
      <w:r w:rsidR="0077548C">
        <w:rPr>
          <w:rStyle w:val="IvDbodytextChar"/>
          <w:i w:val="0"/>
          <w:color w:val="auto"/>
          <w:sz w:val="20"/>
          <w:szCs w:val="20"/>
        </w:rPr>
        <w:t>SCG SRB</w:t>
      </w:r>
      <w:r>
        <w:rPr>
          <w:rStyle w:val="IvDbodytextChar"/>
          <w:i w:val="0"/>
          <w:color w:val="auto"/>
          <w:sz w:val="20"/>
          <w:szCs w:val="20"/>
        </w:rPr>
        <w:t xml:space="preserve">. </w:t>
      </w:r>
    </w:p>
    <w:p w14:paraId="06F30415" w14:textId="0D4279BC" w:rsidR="001C747A" w:rsidRDefault="001C747A" w:rsidP="00CC146C">
      <w:pPr>
        <w:pStyle w:val="Observation"/>
        <w:numPr>
          <w:ilvl w:val="0"/>
          <w:numId w:val="0"/>
        </w:numPr>
        <w:rPr>
          <w:b w:val="0"/>
        </w:rPr>
      </w:pPr>
    </w:p>
    <w:p w14:paraId="7F044018" w14:textId="4F0422F9" w:rsidR="0059294A" w:rsidRDefault="0059294A" w:rsidP="0059294A">
      <w:pPr>
        <w:pStyle w:val="Observation"/>
        <w:numPr>
          <w:ilvl w:val="0"/>
          <w:numId w:val="20"/>
        </w:numPr>
        <w:ind w:left="1701" w:hanging="1701"/>
      </w:pPr>
      <w:r>
        <w:t xml:space="preserve">Using an LCID for </w:t>
      </w:r>
      <w:r w:rsidR="0077548C">
        <w:t>SCG</w:t>
      </w:r>
      <w:r>
        <w:t xml:space="preserve"> SRB that is different from </w:t>
      </w:r>
      <w:r w:rsidR="00861CAE">
        <w:t>split SRB</w:t>
      </w:r>
      <w:r>
        <w:t xml:space="preserve"> will mitigate the confusion problem at the NR MAC when </w:t>
      </w:r>
      <w:r w:rsidR="00861CAE">
        <w:t xml:space="preserve">both </w:t>
      </w:r>
      <w:r>
        <w:t xml:space="preserve">split SRB </w:t>
      </w:r>
      <w:r w:rsidR="00861CAE">
        <w:t>and SCG SRB are configured</w:t>
      </w:r>
      <w:r w:rsidR="005E36E2">
        <w:t xml:space="preserve">. </w:t>
      </w:r>
    </w:p>
    <w:p w14:paraId="2E61B118" w14:textId="77777777" w:rsidR="005E36E2" w:rsidRDefault="005E36E2" w:rsidP="00CC146C">
      <w:pPr>
        <w:pStyle w:val="Observation"/>
        <w:numPr>
          <w:ilvl w:val="0"/>
          <w:numId w:val="0"/>
        </w:numPr>
        <w:rPr>
          <w:b w:val="0"/>
        </w:rPr>
      </w:pPr>
    </w:p>
    <w:p w14:paraId="06A92463" w14:textId="6588CA44" w:rsidR="00E90099" w:rsidRDefault="007B6B5E" w:rsidP="00CC146C">
      <w:pPr>
        <w:pStyle w:val="Observation"/>
        <w:numPr>
          <w:ilvl w:val="0"/>
          <w:numId w:val="0"/>
        </w:numPr>
        <w:rPr>
          <w:b w:val="0"/>
        </w:rPr>
      </w:pPr>
      <w:r>
        <w:rPr>
          <w:b w:val="0"/>
        </w:rPr>
        <w:t xml:space="preserve">Another aspect that was agreed upon in RAN2_97bis was that the </w:t>
      </w:r>
      <w:r w:rsidR="0077548C">
        <w:rPr>
          <w:b w:val="0"/>
        </w:rPr>
        <w:t>SCG</w:t>
      </w:r>
      <w:r>
        <w:rPr>
          <w:b w:val="0"/>
        </w:rPr>
        <w:t xml:space="preserve"> SRB will have a priority higher than any DRB. But the priority of this </w:t>
      </w:r>
      <w:r w:rsidR="0077548C">
        <w:rPr>
          <w:b w:val="0"/>
        </w:rPr>
        <w:t>SCG</w:t>
      </w:r>
      <w:r>
        <w:rPr>
          <w:b w:val="0"/>
        </w:rPr>
        <w:t xml:space="preserve"> SRB </w:t>
      </w:r>
      <w:r w:rsidR="002F7D14">
        <w:rPr>
          <w:b w:val="0"/>
        </w:rPr>
        <w:t>relative</w:t>
      </w:r>
      <w:r>
        <w:rPr>
          <w:b w:val="0"/>
        </w:rPr>
        <w:t xml:space="preserve"> to other SRBs was not discussed. </w:t>
      </w:r>
      <w:r w:rsidR="002F7D14">
        <w:rPr>
          <w:b w:val="0"/>
        </w:rPr>
        <w:t>If the SCG SRB was not configured simultaneously with split SRB1, it would have been straightforward to give the SCG SRB the same priority as SRB1 (i.e. the highest priorit</w:t>
      </w:r>
      <w:bookmarkStart w:id="1" w:name="_GoBack"/>
      <w:bookmarkEnd w:id="1"/>
      <w:r w:rsidR="002F7D14">
        <w:rPr>
          <w:b w:val="0"/>
        </w:rPr>
        <w:t xml:space="preserve">y). However, </w:t>
      </w:r>
      <w:r>
        <w:rPr>
          <w:b w:val="0"/>
        </w:rPr>
        <w:t xml:space="preserve">if </w:t>
      </w:r>
      <w:r w:rsidR="002F7D14">
        <w:rPr>
          <w:b w:val="0"/>
        </w:rPr>
        <w:t xml:space="preserve">both split SRB1 and SCG SRB are configured, it is not clear whether the SCG SRB should have a priority equal to or lower than that of SRB1. </w:t>
      </w:r>
    </w:p>
    <w:p w14:paraId="4BC490F5" w14:textId="77777777" w:rsidR="00D57F29" w:rsidRDefault="00D57F29" w:rsidP="00CC146C">
      <w:pPr>
        <w:pStyle w:val="Observation"/>
        <w:numPr>
          <w:ilvl w:val="0"/>
          <w:numId w:val="0"/>
        </w:numPr>
        <w:rPr>
          <w:b w:val="0"/>
        </w:rPr>
      </w:pPr>
    </w:p>
    <w:p w14:paraId="2842E794" w14:textId="0097769C" w:rsidR="00BE483A" w:rsidRDefault="005E36E2" w:rsidP="00861CAE">
      <w:pPr>
        <w:pStyle w:val="Observation"/>
        <w:numPr>
          <w:ilvl w:val="0"/>
          <w:numId w:val="20"/>
        </w:numPr>
        <w:ind w:left="1701" w:hanging="1701"/>
      </w:pPr>
      <w:r>
        <w:lastRenderedPageBreak/>
        <w:t xml:space="preserve">If </w:t>
      </w:r>
      <w:r w:rsidR="002F7D14">
        <w:t xml:space="preserve">both split SRB and SCG SRB are configured, </w:t>
      </w:r>
      <w:r>
        <w:t>it is not clear whether th</w:t>
      </w:r>
      <w:r w:rsidR="002F7D14">
        <w:t>e</w:t>
      </w:r>
      <w:r>
        <w:t xml:space="preserve"> </w:t>
      </w:r>
      <w:r w:rsidR="002F7D14">
        <w:t xml:space="preserve">logical channel associated with the SCG SRB will have a lower or equal priority to that of </w:t>
      </w:r>
      <w:r w:rsidR="005D3847">
        <w:t xml:space="preserve">the split </w:t>
      </w:r>
      <w:r w:rsidR="002F7D14">
        <w:t>SRB</w:t>
      </w:r>
      <w:r w:rsidR="00BE483A">
        <w:t xml:space="preserve">. </w:t>
      </w:r>
    </w:p>
    <w:p w14:paraId="159ECD50" w14:textId="77777777" w:rsidR="00BE483A" w:rsidRDefault="00BE483A" w:rsidP="00BE483A">
      <w:pPr>
        <w:pStyle w:val="Observation"/>
        <w:numPr>
          <w:ilvl w:val="0"/>
          <w:numId w:val="0"/>
        </w:numPr>
        <w:ind w:left="1701"/>
      </w:pPr>
    </w:p>
    <w:p w14:paraId="10E16D74" w14:textId="56E9A12B" w:rsidR="00BE483A" w:rsidRDefault="00BE483A" w:rsidP="00BE483A">
      <w:pPr>
        <w:pStyle w:val="BodyText"/>
      </w:pPr>
      <w:r>
        <w:rPr>
          <w:bCs/>
        </w:rPr>
        <w:t>Considering the above observations, we propose:</w:t>
      </w:r>
      <w:r w:rsidRPr="00CE0424">
        <w:t xml:space="preserve"> </w:t>
      </w:r>
    </w:p>
    <w:p w14:paraId="5BD8DAE4" w14:textId="77777777" w:rsidR="00BC46E8" w:rsidRPr="00CE0424" w:rsidRDefault="00BC46E8" w:rsidP="00BE483A">
      <w:pPr>
        <w:pStyle w:val="BodyText"/>
      </w:pPr>
    </w:p>
    <w:p w14:paraId="405E67AD" w14:textId="715DAF73" w:rsidR="005E36E2" w:rsidRDefault="005E36E2" w:rsidP="00BE483A">
      <w:pPr>
        <w:pStyle w:val="Proposal"/>
        <w:numPr>
          <w:ilvl w:val="0"/>
          <w:numId w:val="21"/>
        </w:numPr>
      </w:pPr>
      <w:r>
        <w:t xml:space="preserve">RAN2 to </w:t>
      </w:r>
      <w:r w:rsidR="00002024">
        <w:t xml:space="preserve">associate </w:t>
      </w:r>
      <w:r w:rsidR="002F7D14">
        <w:t xml:space="preserve">an LCID value other than </w:t>
      </w:r>
      <w:r w:rsidR="00002024">
        <w:t xml:space="preserve">1 </w:t>
      </w:r>
      <w:r w:rsidR="00861CAE">
        <w:t>and</w:t>
      </w:r>
      <w:r w:rsidR="00002024">
        <w:t xml:space="preserve"> 2</w:t>
      </w:r>
      <w:r w:rsidR="002F7D14">
        <w:t xml:space="preserve"> </w:t>
      </w:r>
      <w:r>
        <w:t xml:space="preserve">for </w:t>
      </w:r>
      <w:r w:rsidR="00983C05">
        <w:t xml:space="preserve">the </w:t>
      </w:r>
      <w:r w:rsidR="0077548C">
        <w:t>SCG</w:t>
      </w:r>
      <w:r>
        <w:t xml:space="preserve"> SRB </w:t>
      </w:r>
      <w:r w:rsidR="002F7D14">
        <w:t>to avoid confusion with split SRB1</w:t>
      </w:r>
      <w:r w:rsidR="00002024">
        <w:t>/2</w:t>
      </w:r>
      <w:r w:rsidR="002F7D14">
        <w:t xml:space="preserve"> at the NR MAC</w:t>
      </w:r>
      <w:r>
        <w:t>.</w:t>
      </w:r>
    </w:p>
    <w:p w14:paraId="023E0FCF" w14:textId="45F3C38F" w:rsidR="002F7D14" w:rsidRDefault="002F7D14" w:rsidP="00BE483A">
      <w:pPr>
        <w:pStyle w:val="Proposal"/>
        <w:numPr>
          <w:ilvl w:val="0"/>
          <w:numId w:val="21"/>
        </w:numPr>
      </w:pPr>
      <w:r>
        <w:t>RAN2 to d</w:t>
      </w:r>
      <w:r w:rsidR="00002024">
        <w:t>iscuss and d</w:t>
      </w:r>
      <w:r>
        <w:t>ecide the priority of t</w:t>
      </w:r>
      <w:r w:rsidR="00002024">
        <w:t xml:space="preserve">he </w:t>
      </w:r>
      <w:r>
        <w:t>SCG SRB as compared to SRB1/2.</w:t>
      </w:r>
    </w:p>
    <w:p w14:paraId="49BB2FAF" w14:textId="77777777" w:rsidR="001C747A" w:rsidRDefault="001C747A" w:rsidP="00CC146C">
      <w:pPr>
        <w:pStyle w:val="Observation"/>
        <w:numPr>
          <w:ilvl w:val="0"/>
          <w:numId w:val="0"/>
        </w:numPr>
        <w:rPr>
          <w:b w:val="0"/>
        </w:rPr>
      </w:pPr>
    </w:p>
    <w:p w14:paraId="5D502FB8" w14:textId="77777777" w:rsidR="00C01F33" w:rsidRPr="00CE0424" w:rsidRDefault="00C01F33" w:rsidP="00CE0424">
      <w:pPr>
        <w:pStyle w:val="Heading1"/>
      </w:pPr>
      <w:r w:rsidRPr="00CE0424">
        <w:t>Conclusion</w:t>
      </w:r>
    </w:p>
    <w:p w14:paraId="684382C1" w14:textId="52E8D4DB" w:rsidR="000A2134" w:rsidRDefault="000A2134" w:rsidP="00311702">
      <w:r>
        <w:t xml:space="preserve">In this </w:t>
      </w:r>
      <w:r w:rsidR="00A72A12">
        <w:t xml:space="preserve">contribution, we have discussed the issue of </w:t>
      </w:r>
      <w:r w:rsidR="0077548C">
        <w:t>SCG</w:t>
      </w:r>
      <w:r w:rsidR="00A72A12">
        <w:t xml:space="preserve"> SRB identification and </w:t>
      </w:r>
      <w:r w:rsidR="007A11C8">
        <w:t xml:space="preserve">mapping it to a logical channel, and </w:t>
      </w:r>
      <w:r w:rsidR="00A72A12">
        <w:t>we have observed that:</w:t>
      </w:r>
    </w:p>
    <w:p w14:paraId="493AB3D1" w14:textId="77777777" w:rsidR="00A75B43" w:rsidRDefault="00A75B43" w:rsidP="00311702"/>
    <w:p w14:paraId="3A101FF3" w14:textId="35B73C61" w:rsidR="00857E27" w:rsidRDefault="00857E27" w:rsidP="00857E27">
      <w:pPr>
        <w:pStyle w:val="Observation"/>
        <w:numPr>
          <w:ilvl w:val="0"/>
          <w:numId w:val="29"/>
        </w:numPr>
        <w:ind w:left="1701" w:hanging="1701"/>
      </w:pPr>
      <w:r>
        <w:t xml:space="preserve">The usage of the same LCID for split SRB and </w:t>
      </w:r>
      <w:r w:rsidR="0077548C">
        <w:t>SCG</w:t>
      </w:r>
      <w:r>
        <w:t xml:space="preserve"> SRB will cause confusion at the NR MAC level.</w:t>
      </w:r>
    </w:p>
    <w:p w14:paraId="024CCE2B" w14:textId="3BDED071" w:rsidR="00857E27" w:rsidRDefault="00861CAE" w:rsidP="00857E27">
      <w:pPr>
        <w:pStyle w:val="Observation"/>
        <w:numPr>
          <w:ilvl w:val="0"/>
          <w:numId w:val="20"/>
        </w:numPr>
        <w:ind w:left="1701" w:hanging="1701"/>
      </w:pPr>
      <w:r>
        <w:t>Using an LCID for SCG SRB that is different from split SRB will mitigate the confusion problem at the NR MAC when both split SRB and SCG SRB are configured</w:t>
      </w:r>
      <w:r w:rsidR="00857E27">
        <w:t xml:space="preserve">. </w:t>
      </w:r>
    </w:p>
    <w:p w14:paraId="4E8EF80F" w14:textId="09AC6BFF" w:rsidR="00D57F29" w:rsidRDefault="00D57F29" w:rsidP="00D57F29">
      <w:pPr>
        <w:pStyle w:val="Observation"/>
        <w:numPr>
          <w:ilvl w:val="0"/>
          <w:numId w:val="20"/>
        </w:numPr>
        <w:ind w:left="1701" w:hanging="1701"/>
      </w:pPr>
      <w:r>
        <w:t xml:space="preserve">If both split SRB and SCG SRB are configured, it is not clear whether the logical channel associated with the SCG SRB should have a lower or equal priority to that of </w:t>
      </w:r>
      <w:r w:rsidR="005D3847">
        <w:t xml:space="preserve">the split </w:t>
      </w:r>
      <w:r>
        <w:t xml:space="preserve">SRB. </w:t>
      </w:r>
    </w:p>
    <w:p w14:paraId="5BAADEA6" w14:textId="77777777" w:rsidR="00857E27" w:rsidRDefault="00857E27" w:rsidP="00857E27">
      <w:pPr>
        <w:pStyle w:val="Observation"/>
        <w:numPr>
          <w:ilvl w:val="0"/>
          <w:numId w:val="0"/>
        </w:numPr>
        <w:ind w:left="1701"/>
      </w:pPr>
    </w:p>
    <w:p w14:paraId="452C6B15" w14:textId="77777777" w:rsidR="00857E27" w:rsidRDefault="00857E27" w:rsidP="00857E27">
      <w:pPr>
        <w:pStyle w:val="BodyText"/>
      </w:pPr>
      <w:r>
        <w:rPr>
          <w:bCs/>
        </w:rPr>
        <w:t>Considering the above observations, we propose:</w:t>
      </w:r>
      <w:r w:rsidRPr="00CE0424">
        <w:t xml:space="preserve"> </w:t>
      </w:r>
    </w:p>
    <w:p w14:paraId="5414EA3B" w14:textId="77777777" w:rsidR="00857E27" w:rsidRPr="00CE0424" w:rsidRDefault="00857E27" w:rsidP="00857E27">
      <w:pPr>
        <w:pStyle w:val="BodyText"/>
      </w:pPr>
    </w:p>
    <w:p w14:paraId="416ABEF6" w14:textId="70C7304F" w:rsidR="00857E27" w:rsidRDefault="00D57F29" w:rsidP="00857E27">
      <w:pPr>
        <w:pStyle w:val="Proposal"/>
        <w:numPr>
          <w:ilvl w:val="0"/>
          <w:numId w:val="30"/>
        </w:numPr>
      </w:pPr>
      <w:r>
        <w:t xml:space="preserve">RAN2 to associate an LCID value other than 1 and 2 for </w:t>
      </w:r>
      <w:r w:rsidR="00983C05">
        <w:t xml:space="preserve">the </w:t>
      </w:r>
      <w:r>
        <w:t>SCG SRB to avoid confusion with split SRB1/2 at the NR MAC</w:t>
      </w:r>
      <w:r w:rsidR="00857E27">
        <w:t>.</w:t>
      </w:r>
    </w:p>
    <w:p w14:paraId="4B05739D" w14:textId="77777777" w:rsidR="00D57F29" w:rsidRPr="00D57F29" w:rsidRDefault="00D57F29" w:rsidP="00D57F29">
      <w:pPr>
        <w:pStyle w:val="Proposal"/>
        <w:numPr>
          <w:ilvl w:val="0"/>
          <w:numId w:val="21"/>
        </w:numPr>
      </w:pPr>
      <w:r w:rsidRPr="00D57F29">
        <w:t>RAN2 to discuss and decide the priority of the SCG SRB as compared to SRB1/2.</w:t>
      </w:r>
    </w:p>
    <w:p w14:paraId="47A83165" w14:textId="0931E1D2" w:rsidR="00311702" w:rsidRPr="00CE0424" w:rsidRDefault="00311702" w:rsidP="00A72A12">
      <w:pPr>
        <w:pStyle w:val="Proposal"/>
        <w:numPr>
          <w:ilvl w:val="0"/>
          <w:numId w:val="0"/>
        </w:numPr>
        <w:ind w:left="1304"/>
      </w:pPr>
    </w:p>
    <w:p w14:paraId="1943F3E4" w14:textId="77777777" w:rsidR="00F815B7" w:rsidRPr="00664F1D" w:rsidRDefault="00F815B7" w:rsidP="00F815B7">
      <w:pPr>
        <w:pStyle w:val="Reference"/>
        <w:numPr>
          <w:ilvl w:val="0"/>
          <w:numId w:val="0"/>
        </w:numPr>
        <w:rPr>
          <w:lang w:val="en-US"/>
        </w:rPr>
      </w:pPr>
      <w:bookmarkStart w:id="2" w:name="_In-sequence_SDU_delivery"/>
      <w:bookmarkEnd w:id="2"/>
    </w:p>
    <w:sectPr w:rsidR="00F815B7" w:rsidRPr="00664F1D">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610EC" w14:textId="77777777" w:rsidR="003708B2" w:rsidRDefault="003708B2">
      <w:r>
        <w:separator/>
      </w:r>
    </w:p>
  </w:endnote>
  <w:endnote w:type="continuationSeparator" w:id="0">
    <w:p w14:paraId="282F2A06" w14:textId="77777777" w:rsidR="003708B2" w:rsidRDefault="0037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7870F103" w:rsidR="00861CAE" w:rsidRDefault="00861C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5B4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5B4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B9C73" w14:textId="77777777" w:rsidR="003708B2" w:rsidRDefault="003708B2">
      <w:r>
        <w:separator/>
      </w:r>
    </w:p>
  </w:footnote>
  <w:footnote w:type="continuationSeparator" w:id="0">
    <w:p w14:paraId="4C0DB503" w14:textId="77777777" w:rsidR="003708B2" w:rsidRDefault="003708B2">
      <w:r>
        <w:continuationSeparator/>
      </w:r>
    </w:p>
  </w:footnote>
  <w:footnote w:id="1">
    <w:p w14:paraId="1AB9287E" w14:textId="4C482E1A" w:rsidR="00861CAE" w:rsidRPr="007260FE" w:rsidRDefault="00861CAE">
      <w:pPr>
        <w:pStyle w:val="FootnoteText"/>
        <w:rPr>
          <w:lang w:val="en-US"/>
        </w:rPr>
      </w:pPr>
      <w:r>
        <w:rPr>
          <w:rStyle w:val="FootnoteReference"/>
        </w:rPr>
        <w:footnoteRef/>
      </w:r>
      <w:r>
        <w:t xml:space="preserve"> </w:t>
      </w:r>
      <w:r w:rsidRPr="007260FE">
        <w:rPr>
          <w:lang w:val="en-US"/>
        </w:rPr>
        <w:t xml:space="preserve">Note that even though LCID </w:t>
      </w:r>
      <w:r w:rsidR="005D2BC4">
        <w:rPr>
          <w:lang w:val="en-US"/>
        </w:rPr>
        <w:t xml:space="preserve">3 </w:t>
      </w:r>
      <w:r w:rsidRPr="007260FE">
        <w:rPr>
          <w:lang w:val="en-US"/>
        </w:rPr>
        <w:t xml:space="preserve">is used for </w:t>
      </w:r>
      <w:r>
        <w:rPr>
          <w:lang w:val="en-US"/>
        </w:rPr>
        <w:t>SRB1bis, SRB1bis is used only for NB-IoT operating in DoNAS mode, and there will be no DRBs setup in that case. Thus, LCID value of 3 can be used for DRBs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861CAE" w:rsidRDefault="00861C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040766"/>
    <w:multiLevelType w:val="hybridMultilevel"/>
    <w:tmpl w:val="1BC49DDE"/>
    <w:lvl w:ilvl="0" w:tplc="C31A303E">
      <w:start w:val="1"/>
      <w:numFmt w:val="bullet"/>
      <w:lvlText w:val="›"/>
      <w:lvlJc w:val="left"/>
      <w:pPr>
        <w:tabs>
          <w:tab w:val="num" w:pos="720"/>
        </w:tabs>
        <w:ind w:left="720" w:hanging="360"/>
      </w:pPr>
      <w:rPr>
        <w:rFonts w:ascii="Arial" w:hAnsi="Arial" w:hint="default"/>
      </w:rPr>
    </w:lvl>
    <w:lvl w:ilvl="1" w:tplc="1748AC70" w:tentative="1">
      <w:start w:val="1"/>
      <w:numFmt w:val="bullet"/>
      <w:lvlText w:val="›"/>
      <w:lvlJc w:val="left"/>
      <w:pPr>
        <w:tabs>
          <w:tab w:val="num" w:pos="1440"/>
        </w:tabs>
        <w:ind w:left="1440" w:hanging="360"/>
      </w:pPr>
      <w:rPr>
        <w:rFonts w:ascii="Arial" w:hAnsi="Arial" w:hint="default"/>
      </w:rPr>
    </w:lvl>
    <w:lvl w:ilvl="2" w:tplc="AF7A536A" w:tentative="1">
      <w:start w:val="1"/>
      <w:numFmt w:val="bullet"/>
      <w:lvlText w:val="›"/>
      <w:lvlJc w:val="left"/>
      <w:pPr>
        <w:tabs>
          <w:tab w:val="num" w:pos="2160"/>
        </w:tabs>
        <w:ind w:left="2160" w:hanging="360"/>
      </w:pPr>
      <w:rPr>
        <w:rFonts w:ascii="Arial" w:hAnsi="Arial" w:hint="default"/>
      </w:rPr>
    </w:lvl>
    <w:lvl w:ilvl="3" w:tplc="83F48B3A" w:tentative="1">
      <w:start w:val="1"/>
      <w:numFmt w:val="bullet"/>
      <w:lvlText w:val="›"/>
      <w:lvlJc w:val="left"/>
      <w:pPr>
        <w:tabs>
          <w:tab w:val="num" w:pos="2880"/>
        </w:tabs>
        <w:ind w:left="2880" w:hanging="360"/>
      </w:pPr>
      <w:rPr>
        <w:rFonts w:ascii="Arial" w:hAnsi="Arial" w:hint="default"/>
      </w:rPr>
    </w:lvl>
    <w:lvl w:ilvl="4" w:tplc="C2CE04A4" w:tentative="1">
      <w:start w:val="1"/>
      <w:numFmt w:val="bullet"/>
      <w:lvlText w:val="›"/>
      <w:lvlJc w:val="left"/>
      <w:pPr>
        <w:tabs>
          <w:tab w:val="num" w:pos="3600"/>
        </w:tabs>
        <w:ind w:left="3600" w:hanging="360"/>
      </w:pPr>
      <w:rPr>
        <w:rFonts w:ascii="Arial" w:hAnsi="Arial" w:hint="default"/>
      </w:rPr>
    </w:lvl>
    <w:lvl w:ilvl="5" w:tplc="4E1036DE" w:tentative="1">
      <w:start w:val="1"/>
      <w:numFmt w:val="bullet"/>
      <w:lvlText w:val="›"/>
      <w:lvlJc w:val="left"/>
      <w:pPr>
        <w:tabs>
          <w:tab w:val="num" w:pos="4320"/>
        </w:tabs>
        <w:ind w:left="4320" w:hanging="360"/>
      </w:pPr>
      <w:rPr>
        <w:rFonts w:ascii="Arial" w:hAnsi="Arial" w:hint="default"/>
      </w:rPr>
    </w:lvl>
    <w:lvl w:ilvl="6" w:tplc="542A50A6" w:tentative="1">
      <w:start w:val="1"/>
      <w:numFmt w:val="bullet"/>
      <w:lvlText w:val="›"/>
      <w:lvlJc w:val="left"/>
      <w:pPr>
        <w:tabs>
          <w:tab w:val="num" w:pos="5040"/>
        </w:tabs>
        <w:ind w:left="5040" w:hanging="360"/>
      </w:pPr>
      <w:rPr>
        <w:rFonts w:ascii="Arial" w:hAnsi="Arial" w:hint="default"/>
      </w:rPr>
    </w:lvl>
    <w:lvl w:ilvl="7" w:tplc="845C5026" w:tentative="1">
      <w:start w:val="1"/>
      <w:numFmt w:val="bullet"/>
      <w:lvlText w:val="›"/>
      <w:lvlJc w:val="left"/>
      <w:pPr>
        <w:tabs>
          <w:tab w:val="num" w:pos="5760"/>
        </w:tabs>
        <w:ind w:left="5760" w:hanging="360"/>
      </w:pPr>
      <w:rPr>
        <w:rFonts w:ascii="Arial" w:hAnsi="Arial" w:hint="default"/>
      </w:rPr>
    </w:lvl>
    <w:lvl w:ilvl="8" w:tplc="4184BC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00A89"/>
    <w:multiLevelType w:val="hybridMultilevel"/>
    <w:tmpl w:val="B592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931B7"/>
    <w:multiLevelType w:val="hybridMultilevel"/>
    <w:tmpl w:val="091CEDF0"/>
    <w:lvl w:ilvl="0" w:tplc="BB066EE6">
      <w:start w:val="1"/>
      <w:numFmt w:val="bullet"/>
      <w:lvlText w:val="›"/>
      <w:lvlJc w:val="left"/>
      <w:pPr>
        <w:tabs>
          <w:tab w:val="num" w:pos="720"/>
        </w:tabs>
        <w:ind w:left="720" w:hanging="360"/>
      </w:pPr>
      <w:rPr>
        <w:rFonts w:ascii="Arial" w:hAnsi="Arial" w:hint="default"/>
      </w:rPr>
    </w:lvl>
    <w:lvl w:ilvl="1" w:tplc="F4366F1A" w:tentative="1">
      <w:start w:val="1"/>
      <w:numFmt w:val="bullet"/>
      <w:lvlText w:val="›"/>
      <w:lvlJc w:val="left"/>
      <w:pPr>
        <w:tabs>
          <w:tab w:val="num" w:pos="1440"/>
        </w:tabs>
        <w:ind w:left="1440" w:hanging="360"/>
      </w:pPr>
      <w:rPr>
        <w:rFonts w:ascii="Arial" w:hAnsi="Arial" w:hint="default"/>
      </w:rPr>
    </w:lvl>
    <w:lvl w:ilvl="2" w:tplc="A2AE585C" w:tentative="1">
      <w:start w:val="1"/>
      <w:numFmt w:val="bullet"/>
      <w:lvlText w:val="›"/>
      <w:lvlJc w:val="left"/>
      <w:pPr>
        <w:tabs>
          <w:tab w:val="num" w:pos="2160"/>
        </w:tabs>
        <w:ind w:left="2160" w:hanging="360"/>
      </w:pPr>
      <w:rPr>
        <w:rFonts w:ascii="Arial" w:hAnsi="Arial" w:hint="default"/>
      </w:rPr>
    </w:lvl>
    <w:lvl w:ilvl="3" w:tplc="4C1EA398" w:tentative="1">
      <w:start w:val="1"/>
      <w:numFmt w:val="bullet"/>
      <w:lvlText w:val="›"/>
      <w:lvlJc w:val="left"/>
      <w:pPr>
        <w:tabs>
          <w:tab w:val="num" w:pos="2880"/>
        </w:tabs>
        <w:ind w:left="2880" w:hanging="360"/>
      </w:pPr>
      <w:rPr>
        <w:rFonts w:ascii="Arial" w:hAnsi="Arial" w:hint="default"/>
      </w:rPr>
    </w:lvl>
    <w:lvl w:ilvl="4" w:tplc="684CA29E" w:tentative="1">
      <w:start w:val="1"/>
      <w:numFmt w:val="bullet"/>
      <w:lvlText w:val="›"/>
      <w:lvlJc w:val="left"/>
      <w:pPr>
        <w:tabs>
          <w:tab w:val="num" w:pos="3600"/>
        </w:tabs>
        <w:ind w:left="3600" w:hanging="360"/>
      </w:pPr>
      <w:rPr>
        <w:rFonts w:ascii="Arial" w:hAnsi="Arial" w:hint="default"/>
      </w:rPr>
    </w:lvl>
    <w:lvl w:ilvl="5" w:tplc="FF261FE2" w:tentative="1">
      <w:start w:val="1"/>
      <w:numFmt w:val="bullet"/>
      <w:lvlText w:val="›"/>
      <w:lvlJc w:val="left"/>
      <w:pPr>
        <w:tabs>
          <w:tab w:val="num" w:pos="4320"/>
        </w:tabs>
        <w:ind w:left="4320" w:hanging="360"/>
      </w:pPr>
      <w:rPr>
        <w:rFonts w:ascii="Arial" w:hAnsi="Arial" w:hint="default"/>
      </w:rPr>
    </w:lvl>
    <w:lvl w:ilvl="6" w:tplc="684CC936" w:tentative="1">
      <w:start w:val="1"/>
      <w:numFmt w:val="bullet"/>
      <w:lvlText w:val="›"/>
      <w:lvlJc w:val="left"/>
      <w:pPr>
        <w:tabs>
          <w:tab w:val="num" w:pos="5040"/>
        </w:tabs>
        <w:ind w:left="5040" w:hanging="360"/>
      </w:pPr>
      <w:rPr>
        <w:rFonts w:ascii="Arial" w:hAnsi="Arial" w:hint="default"/>
      </w:rPr>
    </w:lvl>
    <w:lvl w:ilvl="7" w:tplc="909C28B8" w:tentative="1">
      <w:start w:val="1"/>
      <w:numFmt w:val="bullet"/>
      <w:lvlText w:val="›"/>
      <w:lvlJc w:val="left"/>
      <w:pPr>
        <w:tabs>
          <w:tab w:val="num" w:pos="5760"/>
        </w:tabs>
        <w:ind w:left="5760" w:hanging="360"/>
      </w:pPr>
      <w:rPr>
        <w:rFonts w:ascii="Arial" w:hAnsi="Arial" w:hint="default"/>
      </w:rPr>
    </w:lvl>
    <w:lvl w:ilvl="8" w:tplc="7AB614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13"/>
  </w:num>
  <w:num w:numId="17">
    <w:abstractNumId w:val="22"/>
  </w:num>
  <w:num w:numId="18">
    <w:abstractNumId w:val="23"/>
  </w:num>
  <w:num w:numId="19">
    <w:abstractNumId w:val="10"/>
  </w:num>
  <w:num w:numId="20">
    <w:abstractNumId w:val="16"/>
    <w:lvlOverride w:ilvl="0">
      <w:startOverride w:val="1"/>
    </w:lvlOverride>
  </w:num>
  <w:num w:numId="21">
    <w:abstractNumId w:val="11"/>
    <w:lvlOverride w:ilvl="0">
      <w:startOverride w:val="1"/>
    </w:lvlOverride>
  </w:num>
  <w:num w:numId="22">
    <w:abstractNumId w:val="17"/>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6"/>
  </w:num>
  <w:num w:numId="26">
    <w:abstractNumId w:val="19"/>
  </w:num>
  <w:num w:numId="27">
    <w:abstractNumId w:val="16"/>
    <w:lvlOverride w:ilvl="0">
      <w:startOverride w:val="1"/>
    </w:lvlOverride>
  </w:num>
  <w:num w:numId="28">
    <w:abstractNumId w:val="11"/>
    <w:lvlOverride w:ilvl="0">
      <w:startOverride w:val="1"/>
    </w:lvlOverride>
  </w:num>
  <w:num w:numId="29">
    <w:abstractNumId w:val="16"/>
    <w:lvlOverride w:ilvl="0">
      <w:startOverride w:val="1"/>
    </w:lvlOverride>
  </w:num>
  <w:num w:numId="30">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024"/>
    <w:rsid w:val="00002A37"/>
    <w:rsid w:val="000039F4"/>
    <w:rsid w:val="00006446"/>
    <w:rsid w:val="00006896"/>
    <w:rsid w:val="00007CDC"/>
    <w:rsid w:val="0001129C"/>
    <w:rsid w:val="00011B28"/>
    <w:rsid w:val="00015D15"/>
    <w:rsid w:val="0002564D"/>
    <w:rsid w:val="00025ECA"/>
    <w:rsid w:val="000325B8"/>
    <w:rsid w:val="00034C15"/>
    <w:rsid w:val="00036BA1"/>
    <w:rsid w:val="00037468"/>
    <w:rsid w:val="000422E2"/>
    <w:rsid w:val="00042F22"/>
    <w:rsid w:val="000444EF"/>
    <w:rsid w:val="00052A07"/>
    <w:rsid w:val="000534E3"/>
    <w:rsid w:val="0005606A"/>
    <w:rsid w:val="00057117"/>
    <w:rsid w:val="000616E7"/>
    <w:rsid w:val="0006487E"/>
    <w:rsid w:val="00065E1A"/>
    <w:rsid w:val="000731A0"/>
    <w:rsid w:val="00077E5F"/>
    <w:rsid w:val="0008036A"/>
    <w:rsid w:val="00081AE6"/>
    <w:rsid w:val="000855EB"/>
    <w:rsid w:val="00085B52"/>
    <w:rsid w:val="000866F2"/>
    <w:rsid w:val="0009009F"/>
    <w:rsid w:val="00091557"/>
    <w:rsid w:val="000924C1"/>
    <w:rsid w:val="000924F0"/>
    <w:rsid w:val="00093474"/>
    <w:rsid w:val="0009510F"/>
    <w:rsid w:val="000A1B7B"/>
    <w:rsid w:val="000A2134"/>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47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5DE3"/>
    <w:rsid w:val="00266214"/>
    <w:rsid w:val="00267C83"/>
    <w:rsid w:val="0027144F"/>
    <w:rsid w:val="00271F3A"/>
    <w:rsid w:val="00273278"/>
    <w:rsid w:val="002737F4"/>
    <w:rsid w:val="002805F5"/>
    <w:rsid w:val="00280751"/>
    <w:rsid w:val="0028280A"/>
    <w:rsid w:val="00286ACD"/>
    <w:rsid w:val="00287838"/>
    <w:rsid w:val="002907B5"/>
    <w:rsid w:val="00292EB7"/>
    <w:rsid w:val="00295A1B"/>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D14"/>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8B2"/>
    <w:rsid w:val="00370E47"/>
    <w:rsid w:val="003742AC"/>
    <w:rsid w:val="00377CE1"/>
    <w:rsid w:val="00385BF0"/>
    <w:rsid w:val="003939FF"/>
    <w:rsid w:val="00397DF1"/>
    <w:rsid w:val="003A2223"/>
    <w:rsid w:val="003A2A0F"/>
    <w:rsid w:val="003A45A1"/>
    <w:rsid w:val="003A5B0A"/>
    <w:rsid w:val="003A6BAC"/>
    <w:rsid w:val="003A7EF3"/>
    <w:rsid w:val="003B0E81"/>
    <w:rsid w:val="003B159C"/>
    <w:rsid w:val="003B369F"/>
    <w:rsid w:val="003B36A3"/>
    <w:rsid w:val="003B460B"/>
    <w:rsid w:val="003B7FE5"/>
    <w:rsid w:val="003C11C8"/>
    <w:rsid w:val="003C2702"/>
    <w:rsid w:val="003C3FC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77EB0"/>
    <w:rsid w:val="00492BC5"/>
    <w:rsid w:val="004964F1"/>
    <w:rsid w:val="004A16BC"/>
    <w:rsid w:val="004A2B94"/>
    <w:rsid w:val="004B4389"/>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0992"/>
    <w:rsid w:val="0059294A"/>
    <w:rsid w:val="005935A4"/>
    <w:rsid w:val="005948C2"/>
    <w:rsid w:val="00595DCA"/>
    <w:rsid w:val="00596B74"/>
    <w:rsid w:val="0059779B"/>
    <w:rsid w:val="005A209A"/>
    <w:rsid w:val="005A662D"/>
    <w:rsid w:val="005A6BF8"/>
    <w:rsid w:val="005B35D7"/>
    <w:rsid w:val="005B392A"/>
    <w:rsid w:val="005B3AA3"/>
    <w:rsid w:val="005B591A"/>
    <w:rsid w:val="005B6F83"/>
    <w:rsid w:val="005C74FB"/>
    <w:rsid w:val="005D1602"/>
    <w:rsid w:val="005D2BC4"/>
    <w:rsid w:val="005D3847"/>
    <w:rsid w:val="005E36E2"/>
    <w:rsid w:val="005E385F"/>
    <w:rsid w:val="005E5B81"/>
    <w:rsid w:val="005F2CB1"/>
    <w:rsid w:val="005F3025"/>
    <w:rsid w:val="005F618C"/>
    <w:rsid w:val="005F70BD"/>
    <w:rsid w:val="0060283C"/>
    <w:rsid w:val="00604F14"/>
    <w:rsid w:val="00611082"/>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240"/>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0F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48C"/>
    <w:rsid w:val="007755F2"/>
    <w:rsid w:val="00776971"/>
    <w:rsid w:val="0078177E"/>
    <w:rsid w:val="0078304C"/>
    <w:rsid w:val="00783673"/>
    <w:rsid w:val="00785490"/>
    <w:rsid w:val="007925EA"/>
    <w:rsid w:val="00793CD8"/>
    <w:rsid w:val="00795C92"/>
    <w:rsid w:val="00796231"/>
    <w:rsid w:val="007A11C8"/>
    <w:rsid w:val="007A1CB3"/>
    <w:rsid w:val="007A306F"/>
    <w:rsid w:val="007A43A6"/>
    <w:rsid w:val="007A58A6"/>
    <w:rsid w:val="007B3D2D"/>
    <w:rsid w:val="007B50AE"/>
    <w:rsid w:val="007B51DF"/>
    <w:rsid w:val="007B6B5E"/>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E27"/>
    <w:rsid w:val="00861CAE"/>
    <w:rsid w:val="008677FD"/>
    <w:rsid w:val="008706D4"/>
    <w:rsid w:val="00870F8A"/>
    <w:rsid w:val="008719A4"/>
    <w:rsid w:val="00871D23"/>
    <w:rsid w:val="00874312"/>
    <w:rsid w:val="0087437C"/>
    <w:rsid w:val="00875CD7"/>
    <w:rsid w:val="00876B4D"/>
    <w:rsid w:val="00877F18"/>
    <w:rsid w:val="0089329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DC3"/>
    <w:rsid w:val="009139D9"/>
    <w:rsid w:val="00914AD8"/>
    <w:rsid w:val="00914DB8"/>
    <w:rsid w:val="00916079"/>
    <w:rsid w:val="00917CE9"/>
    <w:rsid w:val="00920BF2"/>
    <w:rsid w:val="00922010"/>
    <w:rsid w:val="00931BD9"/>
    <w:rsid w:val="00931D80"/>
    <w:rsid w:val="009368F3"/>
    <w:rsid w:val="00941636"/>
    <w:rsid w:val="00943742"/>
    <w:rsid w:val="00945715"/>
    <w:rsid w:val="00945C05"/>
    <w:rsid w:val="00946945"/>
    <w:rsid w:val="00947713"/>
    <w:rsid w:val="00950DE7"/>
    <w:rsid w:val="00952E6C"/>
    <w:rsid w:val="00953920"/>
    <w:rsid w:val="00953D47"/>
    <w:rsid w:val="0095681E"/>
    <w:rsid w:val="009572D4"/>
    <w:rsid w:val="00961921"/>
    <w:rsid w:val="0096430A"/>
    <w:rsid w:val="0096554B"/>
    <w:rsid w:val="0096584A"/>
    <w:rsid w:val="00971F08"/>
    <w:rsid w:val="0097603D"/>
    <w:rsid w:val="00976949"/>
    <w:rsid w:val="00980477"/>
    <w:rsid w:val="00980561"/>
    <w:rsid w:val="00983C0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2A12"/>
    <w:rsid w:val="00A739D0"/>
    <w:rsid w:val="00A75B43"/>
    <w:rsid w:val="00A761D4"/>
    <w:rsid w:val="00A77EC4"/>
    <w:rsid w:val="00A82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6B83"/>
    <w:rsid w:val="00B157F9"/>
    <w:rsid w:val="00B20256"/>
    <w:rsid w:val="00B20D09"/>
    <w:rsid w:val="00B2763F"/>
    <w:rsid w:val="00B27AAC"/>
    <w:rsid w:val="00B3073D"/>
    <w:rsid w:val="00B30929"/>
    <w:rsid w:val="00B372AA"/>
    <w:rsid w:val="00B40445"/>
    <w:rsid w:val="00B41888"/>
    <w:rsid w:val="00B45A52"/>
    <w:rsid w:val="00B46175"/>
    <w:rsid w:val="00B46294"/>
    <w:rsid w:val="00B6188F"/>
    <w:rsid w:val="00B664C7"/>
    <w:rsid w:val="00B739F6"/>
    <w:rsid w:val="00B81A6C"/>
    <w:rsid w:val="00B8447D"/>
    <w:rsid w:val="00B85DE5"/>
    <w:rsid w:val="00B90F73"/>
    <w:rsid w:val="00B93B59"/>
    <w:rsid w:val="00B9406A"/>
    <w:rsid w:val="00BA2280"/>
    <w:rsid w:val="00BA2A08"/>
    <w:rsid w:val="00BA56D2"/>
    <w:rsid w:val="00BA76E0"/>
    <w:rsid w:val="00BB2A25"/>
    <w:rsid w:val="00BB51E9"/>
    <w:rsid w:val="00BC0FDC"/>
    <w:rsid w:val="00BC3053"/>
    <w:rsid w:val="00BC46E8"/>
    <w:rsid w:val="00BC4D2E"/>
    <w:rsid w:val="00BD48AC"/>
    <w:rsid w:val="00BD5F1A"/>
    <w:rsid w:val="00BE1234"/>
    <w:rsid w:val="00BE2FA6"/>
    <w:rsid w:val="00BE333F"/>
    <w:rsid w:val="00BE483A"/>
    <w:rsid w:val="00BE7406"/>
    <w:rsid w:val="00BE7603"/>
    <w:rsid w:val="00BF3279"/>
    <w:rsid w:val="00BF7354"/>
    <w:rsid w:val="00BF74C7"/>
    <w:rsid w:val="00C015F1"/>
    <w:rsid w:val="00C01DEF"/>
    <w:rsid w:val="00C01F33"/>
    <w:rsid w:val="00C02CC6"/>
    <w:rsid w:val="00C040F7"/>
    <w:rsid w:val="00C041B0"/>
    <w:rsid w:val="00C0446C"/>
    <w:rsid w:val="00C044AB"/>
    <w:rsid w:val="00C05706"/>
    <w:rsid w:val="00C07377"/>
    <w:rsid w:val="00C10478"/>
    <w:rsid w:val="00C119CC"/>
    <w:rsid w:val="00C12107"/>
    <w:rsid w:val="00C14D4B"/>
    <w:rsid w:val="00C154BB"/>
    <w:rsid w:val="00C24345"/>
    <w:rsid w:val="00C279B5"/>
    <w:rsid w:val="00C27C45"/>
    <w:rsid w:val="00C3719D"/>
    <w:rsid w:val="00C45A61"/>
    <w:rsid w:val="00C544E1"/>
    <w:rsid w:val="00C54995"/>
    <w:rsid w:val="00C54D41"/>
    <w:rsid w:val="00C60783"/>
    <w:rsid w:val="00C64672"/>
    <w:rsid w:val="00C70697"/>
    <w:rsid w:val="00C72EF4"/>
    <w:rsid w:val="00C75D2F"/>
    <w:rsid w:val="00C767BE"/>
    <w:rsid w:val="00C76E3C"/>
    <w:rsid w:val="00C81568"/>
    <w:rsid w:val="00C9027A"/>
    <w:rsid w:val="00C9068E"/>
    <w:rsid w:val="00C92058"/>
    <w:rsid w:val="00C93C4B"/>
    <w:rsid w:val="00C944AB"/>
    <w:rsid w:val="00C95B40"/>
    <w:rsid w:val="00CA1ED8"/>
    <w:rsid w:val="00CB1F63"/>
    <w:rsid w:val="00CB21BE"/>
    <w:rsid w:val="00CB28F3"/>
    <w:rsid w:val="00CB7170"/>
    <w:rsid w:val="00CC040E"/>
    <w:rsid w:val="00CC111F"/>
    <w:rsid w:val="00CC146C"/>
    <w:rsid w:val="00CC2011"/>
    <w:rsid w:val="00CC3EA0"/>
    <w:rsid w:val="00CC7B45"/>
    <w:rsid w:val="00CD1188"/>
    <w:rsid w:val="00CD2ED1"/>
    <w:rsid w:val="00CD337B"/>
    <w:rsid w:val="00CE0424"/>
    <w:rsid w:val="00CE5FF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57F29"/>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97D"/>
    <w:rsid w:val="00E110E7"/>
    <w:rsid w:val="00E11B20"/>
    <w:rsid w:val="00E17FA2"/>
    <w:rsid w:val="00E22330"/>
    <w:rsid w:val="00E2672F"/>
    <w:rsid w:val="00E2789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099"/>
    <w:rsid w:val="00E90395"/>
    <w:rsid w:val="00E90E49"/>
    <w:rsid w:val="00E917F9"/>
    <w:rsid w:val="00E9291C"/>
    <w:rsid w:val="00E93FFE"/>
    <w:rsid w:val="00E94DEF"/>
    <w:rsid w:val="00E94F8A"/>
    <w:rsid w:val="00EA7A41"/>
    <w:rsid w:val="00EB077B"/>
    <w:rsid w:val="00EB4EA2"/>
    <w:rsid w:val="00EC27C6"/>
    <w:rsid w:val="00EC4207"/>
    <w:rsid w:val="00EC5653"/>
    <w:rsid w:val="00EC71CE"/>
    <w:rsid w:val="00ED1006"/>
    <w:rsid w:val="00EF18FE"/>
    <w:rsid w:val="00EF1D59"/>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C98A8822-ACAF-400A-9E1B-9BA43A01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D2BC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D2B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D2BC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D2BC4"/>
    <w:pPr>
      <w:numPr>
        <w:ilvl w:val="2"/>
      </w:numPr>
      <w:spacing w:before="120"/>
      <w:outlineLvl w:val="2"/>
    </w:pPr>
    <w:rPr>
      <w:sz w:val="28"/>
      <w:szCs w:val="28"/>
    </w:rPr>
  </w:style>
  <w:style w:type="paragraph" w:styleId="Heading4">
    <w:name w:val="heading 4"/>
    <w:basedOn w:val="Heading3"/>
    <w:next w:val="Normal"/>
    <w:qFormat/>
    <w:rsid w:val="005D2BC4"/>
    <w:pPr>
      <w:numPr>
        <w:ilvl w:val="3"/>
      </w:numPr>
      <w:outlineLvl w:val="3"/>
    </w:pPr>
    <w:rPr>
      <w:sz w:val="24"/>
      <w:szCs w:val="24"/>
    </w:rPr>
  </w:style>
  <w:style w:type="paragraph" w:styleId="Heading5">
    <w:name w:val="heading 5"/>
    <w:basedOn w:val="Heading4"/>
    <w:next w:val="Normal"/>
    <w:qFormat/>
    <w:rsid w:val="005D2BC4"/>
    <w:pPr>
      <w:numPr>
        <w:ilvl w:val="4"/>
      </w:numPr>
      <w:outlineLvl w:val="4"/>
    </w:pPr>
    <w:rPr>
      <w:sz w:val="22"/>
      <w:szCs w:val="22"/>
    </w:rPr>
  </w:style>
  <w:style w:type="paragraph" w:styleId="Heading6">
    <w:name w:val="heading 6"/>
    <w:basedOn w:val="Normal"/>
    <w:next w:val="Normal"/>
    <w:qFormat/>
    <w:rsid w:val="005D2BC4"/>
    <w:pPr>
      <w:keepNext/>
      <w:keepLines/>
      <w:numPr>
        <w:ilvl w:val="5"/>
        <w:numId w:val="1"/>
      </w:numPr>
      <w:spacing w:before="120"/>
      <w:outlineLvl w:val="5"/>
    </w:pPr>
    <w:rPr>
      <w:rFonts w:cs="Arial"/>
    </w:rPr>
  </w:style>
  <w:style w:type="paragraph" w:styleId="Heading7">
    <w:name w:val="heading 7"/>
    <w:basedOn w:val="Normal"/>
    <w:next w:val="Normal"/>
    <w:qFormat/>
    <w:rsid w:val="005D2BC4"/>
    <w:pPr>
      <w:keepNext/>
      <w:keepLines/>
      <w:numPr>
        <w:ilvl w:val="6"/>
        <w:numId w:val="1"/>
      </w:numPr>
      <w:spacing w:before="120"/>
      <w:outlineLvl w:val="6"/>
    </w:pPr>
    <w:rPr>
      <w:rFonts w:cs="Arial"/>
    </w:rPr>
  </w:style>
  <w:style w:type="paragraph" w:styleId="Heading8">
    <w:name w:val="heading 8"/>
    <w:basedOn w:val="Heading7"/>
    <w:next w:val="Normal"/>
    <w:qFormat/>
    <w:rsid w:val="005D2BC4"/>
    <w:pPr>
      <w:numPr>
        <w:ilvl w:val="7"/>
      </w:numPr>
      <w:outlineLvl w:val="7"/>
    </w:pPr>
  </w:style>
  <w:style w:type="paragraph" w:styleId="Heading9">
    <w:name w:val="heading 9"/>
    <w:basedOn w:val="Heading8"/>
    <w:next w:val="Normal"/>
    <w:qFormat/>
    <w:rsid w:val="005D2BC4"/>
    <w:pPr>
      <w:numPr>
        <w:ilvl w:val="8"/>
      </w:numPr>
      <w:outlineLvl w:val="8"/>
    </w:pPr>
  </w:style>
  <w:style w:type="character" w:default="1" w:styleId="DefaultParagraphFont">
    <w:name w:val="Default Paragraph Font"/>
    <w:uiPriority w:val="1"/>
    <w:semiHidden/>
    <w:unhideWhenUsed/>
    <w:rsid w:val="005D2B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2BC4"/>
  </w:style>
  <w:style w:type="paragraph" w:styleId="TOC8">
    <w:name w:val="toc 8"/>
    <w:basedOn w:val="TOC1"/>
    <w:semiHidden/>
    <w:rsid w:val="005D2BC4"/>
    <w:pPr>
      <w:spacing w:before="180"/>
      <w:ind w:left="2693" w:hanging="2693"/>
    </w:pPr>
    <w:rPr>
      <w:b w:val="0"/>
      <w:bCs/>
    </w:rPr>
  </w:style>
  <w:style w:type="paragraph" w:styleId="TOC1">
    <w:name w:val="toc 1"/>
    <w:aliases w:val="Observation TOC2"/>
    <w:uiPriority w:val="39"/>
    <w:rsid w:val="005D2BC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D2BC4"/>
    <w:pPr>
      <w:keepNext/>
      <w:keepLines/>
      <w:spacing w:before="180"/>
      <w:jc w:val="center"/>
    </w:pPr>
  </w:style>
  <w:style w:type="paragraph" w:styleId="Caption">
    <w:name w:val="caption"/>
    <w:basedOn w:val="Normal"/>
    <w:next w:val="Normal"/>
    <w:qFormat/>
    <w:rsid w:val="005D2BC4"/>
    <w:pPr>
      <w:spacing w:after="240"/>
      <w:jc w:val="center"/>
    </w:pPr>
    <w:rPr>
      <w:b/>
      <w:bCs/>
    </w:rPr>
  </w:style>
  <w:style w:type="paragraph" w:styleId="TOC5">
    <w:name w:val="toc 5"/>
    <w:aliases w:val="Observation TOC"/>
    <w:basedOn w:val="TOC4"/>
    <w:semiHidden/>
    <w:rsid w:val="005D2BC4"/>
    <w:pPr>
      <w:tabs>
        <w:tab w:val="right" w:pos="1701"/>
      </w:tabs>
      <w:ind w:left="1701" w:hanging="1701"/>
    </w:pPr>
  </w:style>
  <w:style w:type="paragraph" w:styleId="TOC4">
    <w:name w:val="toc 4"/>
    <w:basedOn w:val="TOC3"/>
    <w:semiHidden/>
    <w:rsid w:val="005D2BC4"/>
    <w:pPr>
      <w:ind w:left="1418" w:hanging="1418"/>
    </w:pPr>
  </w:style>
  <w:style w:type="paragraph" w:styleId="TOC3">
    <w:name w:val="toc 3"/>
    <w:basedOn w:val="TOC2"/>
    <w:semiHidden/>
    <w:rsid w:val="005D2BC4"/>
    <w:pPr>
      <w:ind w:left="1134" w:hanging="1134"/>
    </w:pPr>
  </w:style>
  <w:style w:type="paragraph" w:styleId="TOC2">
    <w:name w:val="toc 2"/>
    <w:basedOn w:val="TOC1"/>
    <w:semiHidden/>
    <w:rsid w:val="005D2BC4"/>
    <w:pPr>
      <w:keepNext w:val="0"/>
      <w:spacing w:before="0"/>
      <w:ind w:left="851" w:hanging="851"/>
    </w:pPr>
    <w:rPr>
      <w:szCs w:val="20"/>
    </w:rPr>
  </w:style>
  <w:style w:type="paragraph" w:styleId="Index2">
    <w:name w:val="index 2"/>
    <w:basedOn w:val="Index1"/>
    <w:semiHidden/>
    <w:rsid w:val="005D2BC4"/>
    <w:pPr>
      <w:ind w:left="284"/>
    </w:pPr>
  </w:style>
  <w:style w:type="paragraph" w:styleId="Index1">
    <w:name w:val="index 1"/>
    <w:basedOn w:val="Normal"/>
    <w:semiHidden/>
    <w:rsid w:val="005D2BC4"/>
    <w:pPr>
      <w:keepLines/>
      <w:spacing w:after="0"/>
    </w:pPr>
  </w:style>
  <w:style w:type="paragraph" w:styleId="DocumentMap">
    <w:name w:val="Document Map"/>
    <w:basedOn w:val="Normal"/>
    <w:semiHidden/>
    <w:rsid w:val="005D2BC4"/>
    <w:pPr>
      <w:shd w:val="clear" w:color="auto" w:fill="000080"/>
    </w:pPr>
    <w:rPr>
      <w:rFonts w:ascii="Tahoma" w:hAnsi="Tahoma" w:cs="Tahoma"/>
    </w:rPr>
  </w:style>
  <w:style w:type="paragraph" w:styleId="ListNumber2">
    <w:name w:val="List Number 2"/>
    <w:basedOn w:val="ListNumber"/>
    <w:rsid w:val="005D2BC4"/>
    <w:pPr>
      <w:ind w:left="851"/>
    </w:pPr>
  </w:style>
  <w:style w:type="paragraph" w:styleId="ListNumber">
    <w:name w:val="List Number"/>
    <w:basedOn w:val="List"/>
    <w:rsid w:val="005D2BC4"/>
  </w:style>
  <w:style w:type="paragraph" w:styleId="List">
    <w:name w:val="List"/>
    <w:basedOn w:val="Normal"/>
    <w:rsid w:val="005D2BC4"/>
    <w:pPr>
      <w:ind w:left="568" w:hanging="284"/>
    </w:pPr>
  </w:style>
  <w:style w:type="paragraph" w:styleId="Header">
    <w:name w:val="header"/>
    <w:rsid w:val="005D2BC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D2BC4"/>
    <w:rPr>
      <w:b/>
      <w:bCs/>
      <w:position w:val="6"/>
      <w:sz w:val="16"/>
      <w:szCs w:val="16"/>
    </w:rPr>
  </w:style>
  <w:style w:type="paragraph" w:styleId="FootnoteText">
    <w:name w:val="footnote text"/>
    <w:basedOn w:val="Normal"/>
    <w:semiHidden/>
    <w:rsid w:val="005D2BC4"/>
    <w:pPr>
      <w:keepLines/>
      <w:spacing w:after="0"/>
      <w:ind w:left="454" w:hanging="454"/>
    </w:pPr>
    <w:rPr>
      <w:sz w:val="16"/>
      <w:szCs w:val="16"/>
    </w:rPr>
  </w:style>
  <w:style w:type="paragraph" w:customStyle="1" w:styleId="3GPPHeader">
    <w:name w:val="3GPP_Header"/>
    <w:basedOn w:val="Normal"/>
    <w:rsid w:val="005D2BC4"/>
    <w:pPr>
      <w:tabs>
        <w:tab w:val="left" w:pos="1701"/>
        <w:tab w:val="right" w:pos="9639"/>
      </w:tabs>
      <w:spacing w:after="240"/>
    </w:pPr>
    <w:rPr>
      <w:b/>
      <w:sz w:val="24"/>
    </w:rPr>
  </w:style>
  <w:style w:type="paragraph" w:styleId="TOC9">
    <w:name w:val="toc 9"/>
    <w:basedOn w:val="TOC8"/>
    <w:semiHidden/>
    <w:rsid w:val="005D2BC4"/>
    <w:pPr>
      <w:ind w:left="1418" w:hanging="1418"/>
    </w:pPr>
  </w:style>
  <w:style w:type="paragraph" w:styleId="TOC6">
    <w:name w:val="toc 6"/>
    <w:basedOn w:val="TOC5"/>
    <w:next w:val="Normal"/>
    <w:semiHidden/>
    <w:rsid w:val="005D2BC4"/>
    <w:pPr>
      <w:ind w:left="1985" w:hanging="1985"/>
    </w:pPr>
  </w:style>
  <w:style w:type="paragraph" w:styleId="TOC7">
    <w:name w:val="toc 7"/>
    <w:basedOn w:val="TOC6"/>
    <w:next w:val="Normal"/>
    <w:semiHidden/>
    <w:rsid w:val="005D2BC4"/>
    <w:pPr>
      <w:ind w:left="2268" w:hanging="2268"/>
    </w:pPr>
  </w:style>
  <w:style w:type="paragraph" w:styleId="ListBullet2">
    <w:name w:val="List Bullet 2"/>
    <w:basedOn w:val="ListBullet"/>
    <w:rsid w:val="005D2BC4"/>
    <w:pPr>
      <w:numPr>
        <w:numId w:val="6"/>
      </w:numPr>
    </w:pPr>
  </w:style>
  <w:style w:type="paragraph" w:styleId="ListBullet">
    <w:name w:val="List Bullet"/>
    <w:basedOn w:val="BodyText"/>
    <w:rsid w:val="005D2BC4"/>
    <w:pPr>
      <w:numPr>
        <w:numId w:val="5"/>
      </w:numPr>
    </w:pPr>
  </w:style>
  <w:style w:type="paragraph" w:styleId="ListBullet3">
    <w:name w:val="List Bullet 3"/>
    <w:basedOn w:val="ListBullet2"/>
    <w:rsid w:val="005D2BC4"/>
    <w:pPr>
      <w:numPr>
        <w:numId w:val="7"/>
      </w:numPr>
    </w:pPr>
  </w:style>
  <w:style w:type="paragraph" w:customStyle="1" w:styleId="EQ">
    <w:name w:val="EQ"/>
    <w:basedOn w:val="Normal"/>
    <w:next w:val="Normal"/>
    <w:rsid w:val="005D2BC4"/>
    <w:pPr>
      <w:keepLines/>
      <w:tabs>
        <w:tab w:val="center" w:pos="4536"/>
        <w:tab w:val="right" w:pos="9072"/>
      </w:tabs>
      <w:spacing w:after="180"/>
      <w:jc w:val="left"/>
    </w:pPr>
    <w:rPr>
      <w:noProof/>
      <w:lang w:eastAsia="en-US"/>
    </w:rPr>
  </w:style>
  <w:style w:type="paragraph" w:styleId="List2">
    <w:name w:val="List 2"/>
    <w:basedOn w:val="List"/>
    <w:rsid w:val="005D2BC4"/>
    <w:pPr>
      <w:ind w:left="851"/>
    </w:pPr>
  </w:style>
  <w:style w:type="paragraph" w:styleId="List3">
    <w:name w:val="List 3"/>
    <w:basedOn w:val="List2"/>
    <w:rsid w:val="005D2BC4"/>
    <w:pPr>
      <w:ind w:left="1135"/>
    </w:pPr>
  </w:style>
  <w:style w:type="paragraph" w:styleId="List4">
    <w:name w:val="List 4"/>
    <w:basedOn w:val="List3"/>
    <w:rsid w:val="005D2BC4"/>
    <w:pPr>
      <w:ind w:left="1418"/>
    </w:pPr>
  </w:style>
  <w:style w:type="paragraph" w:styleId="List5">
    <w:name w:val="List 5"/>
    <w:basedOn w:val="List4"/>
    <w:rsid w:val="005D2BC4"/>
    <w:pPr>
      <w:ind w:left="1702"/>
    </w:pPr>
  </w:style>
  <w:style w:type="paragraph" w:customStyle="1" w:styleId="EditorsNote">
    <w:name w:val="Editor's Note"/>
    <w:basedOn w:val="Normal"/>
    <w:rsid w:val="005D2BC4"/>
    <w:pPr>
      <w:keepLines/>
      <w:spacing w:after="180"/>
      <w:ind w:left="1135" w:hanging="851"/>
      <w:jc w:val="left"/>
    </w:pPr>
    <w:rPr>
      <w:color w:val="FF0000"/>
      <w:lang w:eastAsia="en-US"/>
    </w:rPr>
  </w:style>
  <w:style w:type="paragraph" w:styleId="ListBullet4">
    <w:name w:val="List Bullet 4"/>
    <w:basedOn w:val="ListBullet3"/>
    <w:rsid w:val="005D2BC4"/>
    <w:pPr>
      <w:numPr>
        <w:numId w:val="8"/>
      </w:numPr>
    </w:pPr>
  </w:style>
  <w:style w:type="paragraph" w:styleId="ListBullet5">
    <w:name w:val="List Bullet 5"/>
    <w:basedOn w:val="ListBullet4"/>
    <w:rsid w:val="005D2BC4"/>
    <w:pPr>
      <w:numPr>
        <w:numId w:val="4"/>
      </w:numPr>
    </w:pPr>
  </w:style>
  <w:style w:type="paragraph" w:styleId="Footer">
    <w:name w:val="footer"/>
    <w:basedOn w:val="Header"/>
    <w:semiHidden/>
    <w:rsid w:val="005D2BC4"/>
    <w:pPr>
      <w:jc w:val="center"/>
    </w:pPr>
    <w:rPr>
      <w:i/>
      <w:iCs/>
    </w:rPr>
  </w:style>
  <w:style w:type="paragraph" w:customStyle="1" w:styleId="Reference">
    <w:name w:val="Reference"/>
    <w:basedOn w:val="Normal"/>
    <w:rsid w:val="005D2BC4"/>
    <w:pPr>
      <w:numPr>
        <w:numId w:val="2"/>
      </w:numPr>
    </w:pPr>
  </w:style>
  <w:style w:type="paragraph" w:styleId="BalloonText">
    <w:name w:val="Balloon Text"/>
    <w:basedOn w:val="Normal"/>
    <w:semiHidden/>
    <w:rsid w:val="005D2BC4"/>
    <w:rPr>
      <w:rFonts w:ascii="Tahoma" w:hAnsi="Tahoma" w:cs="Tahoma"/>
      <w:sz w:val="16"/>
      <w:szCs w:val="16"/>
    </w:rPr>
  </w:style>
  <w:style w:type="character" w:styleId="PageNumber">
    <w:name w:val="page number"/>
    <w:basedOn w:val="DefaultParagraphFont"/>
    <w:semiHidden/>
    <w:rsid w:val="005D2BC4"/>
  </w:style>
  <w:style w:type="paragraph" w:styleId="BodyText">
    <w:name w:val="Body Text"/>
    <w:basedOn w:val="Normal"/>
    <w:link w:val="BodyTextChar"/>
    <w:rsid w:val="005D2BC4"/>
  </w:style>
  <w:style w:type="character" w:styleId="Hyperlink">
    <w:name w:val="Hyperlink"/>
    <w:uiPriority w:val="99"/>
    <w:rsid w:val="005D2BC4"/>
    <w:rPr>
      <w:color w:val="0000FF"/>
      <w:u w:val="single"/>
      <w:lang w:val="en-GB"/>
    </w:rPr>
  </w:style>
  <w:style w:type="character" w:styleId="FollowedHyperlink">
    <w:name w:val="FollowedHyperlink"/>
    <w:semiHidden/>
    <w:rsid w:val="005D2BC4"/>
    <w:rPr>
      <w:color w:val="FF0000"/>
      <w:u w:val="single"/>
    </w:rPr>
  </w:style>
  <w:style w:type="character" w:styleId="CommentReference">
    <w:name w:val="annotation reference"/>
    <w:semiHidden/>
    <w:rsid w:val="005D2BC4"/>
    <w:rPr>
      <w:sz w:val="16"/>
      <w:szCs w:val="16"/>
    </w:rPr>
  </w:style>
  <w:style w:type="paragraph" w:styleId="CommentText">
    <w:name w:val="annotation text"/>
    <w:basedOn w:val="Normal"/>
    <w:link w:val="CommentTextChar"/>
    <w:rsid w:val="005D2BC4"/>
  </w:style>
  <w:style w:type="paragraph" w:styleId="CommentSubject">
    <w:name w:val="annotation subject"/>
    <w:basedOn w:val="CommentText"/>
    <w:next w:val="CommentText"/>
    <w:semiHidden/>
    <w:rsid w:val="005D2BC4"/>
    <w:rPr>
      <w:b/>
      <w:bCs/>
    </w:rPr>
  </w:style>
  <w:style w:type="character" w:customStyle="1" w:styleId="Heading1Char">
    <w:name w:val="Heading 1 Char"/>
    <w:link w:val="Heading1"/>
    <w:rsid w:val="005D2BC4"/>
    <w:rPr>
      <w:rFonts w:ascii="Arial" w:hAnsi="Arial" w:cs="Arial"/>
      <w:sz w:val="36"/>
      <w:szCs w:val="36"/>
      <w:lang w:val="en-GB" w:eastAsia="zh-CN"/>
    </w:rPr>
  </w:style>
  <w:style w:type="paragraph" w:customStyle="1" w:styleId="B1">
    <w:name w:val="B1"/>
    <w:basedOn w:val="List"/>
    <w:link w:val="B1Char"/>
    <w:rsid w:val="005D2BC4"/>
    <w:pPr>
      <w:spacing w:after="180"/>
      <w:jc w:val="left"/>
    </w:pPr>
    <w:rPr>
      <w:lang w:eastAsia="en-US"/>
    </w:rPr>
  </w:style>
  <w:style w:type="paragraph" w:customStyle="1" w:styleId="B2">
    <w:name w:val="B2"/>
    <w:basedOn w:val="List2"/>
    <w:rsid w:val="005D2BC4"/>
    <w:pPr>
      <w:spacing w:after="180"/>
      <w:jc w:val="left"/>
    </w:pPr>
    <w:rPr>
      <w:lang w:eastAsia="en-US"/>
    </w:rPr>
  </w:style>
  <w:style w:type="paragraph" w:customStyle="1" w:styleId="B3">
    <w:name w:val="B3"/>
    <w:basedOn w:val="List3"/>
    <w:rsid w:val="005D2BC4"/>
    <w:pPr>
      <w:spacing w:after="180"/>
      <w:jc w:val="left"/>
    </w:pPr>
    <w:rPr>
      <w:lang w:eastAsia="en-US"/>
    </w:rPr>
  </w:style>
  <w:style w:type="paragraph" w:customStyle="1" w:styleId="B4">
    <w:name w:val="B4"/>
    <w:basedOn w:val="List4"/>
    <w:rsid w:val="005D2BC4"/>
    <w:pPr>
      <w:spacing w:after="180"/>
      <w:jc w:val="left"/>
    </w:pPr>
    <w:rPr>
      <w:lang w:eastAsia="en-US"/>
    </w:rPr>
  </w:style>
  <w:style w:type="paragraph" w:customStyle="1" w:styleId="Proposal">
    <w:name w:val="Proposal"/>
    <w:basedOn w:val="Normal"/>
    <w:rsid w:val="005D2BC4"/>
    <w:pPr>
      <w:numPr>
        <w:numId w:val="3"/>
      </w:numPr>
      <w:tabs>
        <w:tab w:val="clear" w:pos="1304"/>
        <w:tab w:val="left" w:pos="1701"/>
      </w:tabs>
      <w:ind w:left="1701" w:hanging="1701"/>
    </w:pPr>
    <w:rPr>
      <w:b/>
      <w:bCs/>
    </w:rPr>
  </w:style>
  <w:style w:type="character" w:customStyle="1" w:styleId="BodyTextChar">
    <w:name w:val="Body Text Char"/>
    <w:link w:val="BodyText"/>
    <w:rsid w:val="005D2BC4"/>
    <w:rPr>
      <w:rFonts w:ascii="Arial" w:hAnsi="Arial"/>
      <w:lang w:val="en-GB" w:eastAsia="zh-CN"/>
    </w:rPr>
  </w:style>
  <w:style w:type="paragraph" w:customStyle="1" w:styleId="B5">
    <w:name w:val="B5"/>
    <w:basedOn w:val="List5"/>
    <w:rsid w:val="005D2BC4"/>
    <w:pPr>
      <w:spacing w:after="180"/>
      <w:jc w:val="left"/>
    </w:pPr>
    <w:rPr>
      <w:lang w:eastAsia="en-US"/>
    </w:rPr>
  </w:style>
  <w:style w:type="paragraph" w:customStyle="1" w:styleId="EX">
    <w:name w:val="EX"/>
    <w:basedOn w:val="Normal"/>
    <w:rsid w:val="005D2BC4"/>
    <w:pPr>
      <w:keepLines/>
      <w:spacing w:after="180"/>
      <w:ind w:left="1702" w:hanging="1418"/>
      <w:jc w:val="left"/>
    </w:pPr>
    <w:rPr>
      <w:lang w:eastAsia="en-US"/>
    </w:rPr>
  </w:style>
  <w:style w:type="paragraph" w:customStyle="1" w:styleId="EW">
    <w:name w:val="EW"/>
    <w:basedOn w:val="EX"/>
    <w:rsid w:val="005D2BC4"/>
    <w:pPr>
      <w:spacing w:after="0"/>
    </w:pPr>
  </w:style>
  <w:style w:type="paragraph" w:customStyle="1" w:styleId="TAL">
    <w:name w:val="TAL"/>
    <w:basedOn w:val="Normal"/>
    <w:rsid w:val="005D2BC4"/>
    <w:pPr>
      <w:keepNext/>
      <w:keepLines/>
      <w:spacing w:after="0"/>
      <w:jc w:val="left"/>
    </w:pPr>
    <w:rPr>
      <w:sz w:val="18"/>
      <w:lang w:eastAsia="en-US"/>
    </w:rPr>
  </w:style>
  <w:style w:type="paragraph" w:customStyle="1" w:styleId="TAC">
    <w:name w:val="TAC"/>
    <w:basedOn w:val="TAL"/>
    <w:link w:val="TACChar"/>
    <w:rsid w:val="005D2BC4"/>
    <w:pPr>
      <w:jc w:val="center"/>
    </w:pPr>
  </w:style>
  <w:style w:type="paragraph" w:customStyle="1" w:styleId="TAH">
    <w:name w:val="TAH"/>
    <w:basedOn w:val="TAC"/>
    <w:link w:val="TAHCar"/>
    <w:rsid w:val="005D2BC4"/>
    <w:rPr>
      <w:b/>
    </w:rPr>
  </w:style>
  <w:style w:type="paragraph" w:customStyle="1" w:styleId="TAN">
    <w:name w:val="TAN"/>
    <w:basedOn w:val="TAL"/>
    <w:rsid w:val="005D2BC4"/>
    <w:pPr>
      <w:ind w:left="851" w:hanging="851"/>
    </w:pPr>
  </w:style>
  <w:style w:type="paragraph" w:customStyle="1" w:styleId="TAR">
    <w:name w:val="TAR"/>
    <w:basedOn w:val="TAL"/>
    <w:rsid w:val="005D2BC4"/>
    <w:pPr>
      <w:jc w:val="right"/>
    </w:pPr>
  </w:style>
  <w:style w:type="paragraph" w:customStyle="1" w:styleId="TH">
    <w:name w:val="TH"/>
    <w:basedOn w:val="Normal"/>
    <w:link w:val="THChar"/>
    <w:rsid w:val="005D2BC4"/>
    <w:pPr>
      <w:keepNext/>
      <w:keepLines/>
      <w:spacing w:before="60" w:after="180"/>
      <w:jc w:val="center"/>
    </w:pPr>
    <w:rPr>
      <w:b/>
      <w:lang w:eastAsia="en-US"/>
    </w:rPr>
  </w:style>
  <w:style w:type="paragraph" w:customStyle="1" w:styleId="TF">
    <w:name w:val="TF"/>
    <w:basedOn w:val="TH"/>
    <w:rsid w:val="005D2BC4"/>
    <w:pPr>
      <w:keepNext w:val="0"/>
      <w:spacing w:before="0" w:after="240"/>
    </w:pPr>
  </w:style>
  <w:style w:type="paragraph" w:customStyle="1" w:styleId="TT">
    <w:name w:val="TT"/>
    <w:basedOn w:val="Heading1"/>
    <w:next w:val="Normal"/>
    <w:rsid w:val="005D2BC4"/>
    <w:pPr>
      <w:numPr>
        <w:numId w:val="0"/>
      </w:numPr>
      <w:ind w:left="1134" w:hanging="1134"/>
      <w:outlineLvl w:val="9"/>
    </w:pPr>
    <w:rPr>
      <w:rFonts w:cs="Times New Roman"/>
      <w:szCs w:val="20"/>
      <w:lang w:eastAsia="en-US"/>
    </w:rPr>
  </w:style>
  <w:style w:type="paragraph" w:customStyle="1" w:styleId="ZA">
    <w:name w:val="ZA"/>
    <w:rsid w:val="005D2B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2B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D2B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D2B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D2BC4"/>
  </w:style>
  <w:style w:type="paragraph" w:customStyle="1" w:styleId="ZH">
    <w:name w:val="ZH"/>
    <w:rsid w:val="005D2B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D2B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D2BC4"/>
    <w:pPr>
      <w:framePr w:hRule="auto" w:wrap="notBeside" w:y="852"/>
    </w:pPr>
    <w:rPr>
      <w:i w:val="0"/>
      <w:sz w:val="40"/>
    </w:rPr>
  </w:style>
  <w:style w:type="paragraph" w:customStyle="1" w:styleId="ZU">
    <w:name w:val="ZU"/>
    <w:rsid w:val="005D2B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D2BC4"/>
    <w:pPr>
      <w:framePr w:wrap="notBeside" w:y="16161"/>
    </w:pPr>
  </w:style>
  <w:style w:type="paragraph" w:customStyle="1" w:styleId="FP">
    <w:name w:val="FP"/>
    <w:basedOn w:val="Normal"/>
    <w:rsid w:val="005D2BC4"/>
    <w:pPr>
      <w:spacing w:after="0"/>
      <w:jc w:val="left"/>
    </w:pPr>
    <w:rPr>
      <w:lang w:eastAsia="en-US"/>
    </w:rPr>
  </w:style>
  <w:style w:type="paragraph" w:customStyle="1" w:styleId="Observation">
    <w:name w:val="Observation"/>
    <w:basedOn w:val="Proposal"/>
    <w:qFormat/>
    <w:rsid w:val="005D2BC4"/>
    <w:pPr>
      <w:numPr>
        <w:numId w:val="13"/>
      </w:numPr>
      <w:ind w:left="1701" w:hanging="1701"/>
    </w:pPr>
  </w:style>
  <w:style w:type="paragraph" w:styleId="TableofFigures">
    <w:name w:val="table of figures"/>
    <w:basedOn w:val="Normal"/>
    <w:next w:val="Normal"/>
    <w:uiPriority w:val="99"/>
    <w:rsid w:val="005D2BC4"/>
    <w:pPr>
      <w:ind w:left="1418" w:hanging="1418"/>
      <w:jc w:val="left"/>
    </w:pPr>
    <w:rPr>
      <w:b/>
    </w:rPr>
  </w:style>
  <w:style w:type="paragraph" w:customStyle="1" w:styleId="Doc-text2">
    <w:name w:val="Doc-text2"/>
    <w:basedOn w:val="Normal"/>
    <w:link w:val="Doc-text2Char"/>
    <w:qFormat/>
    <w:rsid w:val="005D2BC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D2BC4"/>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table" w:styleId="TableGrid">
    <w:name w:val="Table Grid"/>
    <w:basedOn w:val="TableNormal"/>
    <w:rsid w:val="00265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265DE3"/>
    <w:rPr>
      <w:rFonts w:ascii="Arial" w:hAnsi="Arial"/>
      <w:b/>
      <w:lang w:val="en-GB"/>
    </w:rPr>
  </w:style>
  <w:style w:type="character" w:customStyle="1" w:styleId="TACChar">
    <w:name w:val="TAC Char"/>
    <w:link w:val="TAC"/>
    <w:rsid w:val="00265DE3"/>
    <w:rPr>
      <w:rFonts w:ascii="Arial" w:hAnsi="Arial"/>
      <w:sz w:val="18"/>
      <w:lang w:val="en-GB"/>
    </w:rPr>
  </w:style>
  <w:style w:type="character" w:customStyle="1" w:styleId="TAHCar">
    <w:name w:val="TAH Car"/>
    <w:link w:val="TAH"/>
    <w:rsid w:val="00265DE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891062">
      <w:bodyDiv w:val="1"/>
      <w:marLeft w:val="0"/>
      <w:marRight w:val="0"/>
      <w:marTop w:val="0"/>
      <w:marBottom w:val="0"/>
      <w:divBdr>
        <w:top w:val="none" w:sz="0" w:space="0" w:color="auto"/>
        <w:left w:val="none" w:sz="0" w:space="0" w:color="auto"/>
        <w:bottom w:val="none" w:sz="0" w:space="0" w:color="auto"/>
        <w:right w:val="none" w:sz="0" w:space="0" w:color="auto"/>
      </w:divBdr>
      <w:divsChild>
        <w:div w:id="1519152466">
          <w:marLeft w:val="274"/>
          <w:marRight w:val="0"/>
          <w:marTop w:val="86"/>
          <w:marBottom w:val="0"/>
          <w:divBdr>
            <w:top w:val="none" w:sz="0" w:space="0" w:color="auto"/>
            <w:left w:val="none" w:sz="0" w:space="0" w:color="auto"/>
            <w:bottom w:val="none" w:sz="0" w:space="0" w:color="auto"/>
            <w:right w:val="none" w:sz="0" w:space="0" w:color="auto"/>
          </w:divBdr>
        </w:div>
      </w:divsChild>
    </w:div>
    <w:div w:id="793911408">
      <w:bodyDiv w:val="1"/>
      <w:marLeft w:val="0"/>
      <w:marRight w:val="0"/>
      <w:marTop w:val="0"/>
      <w:marBottom w:val="0"/>
      <w:divBdr>
        <w:top w:val="none" w:sz="0" w:space="0" w:color="auto"/>
        <w:left w:val="none" w:sz="0" w:space="0" w:color="auto"/>
        <w:bottom w:val="none" w:sz="0" w:space="0" w:color="auto"/>
        <w:right w:val="none" w:sz="0" w:space="0" w:color="auto"/>
      </w:divBdr>
      <w:divsChild>
        <w:div w:id="935668884">
          <w:marLeft w:val="274"/>
          <w:marRight w:val="0"/>
          <w:marTop w:val="82"/>
          <w:marBottom w:val="0"/>
          <w:divBdr>
            <w:top w:val="none" w:sz="0" w:space="0" w:color="auto"/>
            <w:left w:val="none" w:sz="0" w:space="0" w:color="auto"/>
            <w:bottom w:val="none" w:sz="0" w:space="0" w:color="auto"/>
            <w:right w:val="none" w:sz="0" w:space="0" w:color="auto"/>
          </w:divBdr>
        </w:div>
      </w:divsChild>
    </w:div>
    <w:div w:id="1011222728">
      <w:bodyDiv w:val="1"/>
      <w:marLeft w:val="0"/>
      <w:marRight w:val="0"/>
      <w:marTop w:val="0"/>
      <w:marBottom w:val="0"/>
      <w:divBdr>
        <w:top w:val="none" w:sz="0" w:space="0" w:color="auto"/>
        <w:left w:val="none" w:sz="0" w:space="0" w:color="auto"/>
        <w:bottom w:val="none" w:sz="0" w:space="0" w:color="auto"/>
        <w:right w:val="none" w:sz="0" w:space="0" w:color="auto"/>
      </w:divBdr>
      <w:divsChild>
        <w:div w:id="688992508">
          <w:marLeft w:val="274"/>
          <w:marRight w:val="0"/>
          <w:marTop w:val="8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5NUHHDQN7SK2-1-116251</_dlc_DocId>
    <_dlc_DocIdUrl xmlns="08b2df90-05d3-4030-90d4-c9feeb4a1cd9">
      <Url>https://ericoll.internal.ericsson.com/sites/STAR/_layouts/DocIdRedir.aspx?ID=5NUHHDQN7SK2-1-116251</Url>
      <Description>5NUHHDQN7SK2-1-116251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073000D1-FE6B-4656-8C3C-FC1F5557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TotalTime>
  <Pages>4</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4</cp:revision>
  <cp:lastPrinted>2008-01-31T16:09:00Z</cp:lastPrinted>
  <dcterms:created xsi:type="dcterms:W3CDTF">2017-05-05T15:25:00Z</dcterms:created>
  <dcterms:modified xsi:type="dcterms:W3CDTF">2017-05-05T15:27:00Z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07fe1012-d09e-4b92-96ec-85c01b8f4337</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